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EB6E" w14:textId="424BD47C" w:rsidR="00D97499" w:rsidRDefault="00D97499">
      <w:r w:rsidRPr="005F3E43">
        <w:rPr>
          <w:noProof/>
        </w:rPr>
        <w:drawing>
          <wp:anchor distT="0" distB="0" distL="114300" distR="114300" simplePos="0" relativeHeight="251659264" behindDoc="0" locked="0" layoutInCell="1" allowOverlap="1" wp14:anchorId="668A687F" wp14:editId="0DBA7619">
            <wp:simplePos x="0" y="0"/>
            <wp:positionH relativeFrom="column">
              <wp:posOffset>-247650</wp:posOffset>
            </wp:positionH>
            <wp:positionV relativeFrom="paragraph">
              <wp:posOffset>-486410</wp:posOffset>
            </wp:positionV>
            <wp:extent cx="2512060" cy="643255"/>
            <wp:effectExtent l="0" t="0" r="2540" b="4445"/>
            <wp:wrapNone/>
            <wp:docPr id="1010605163"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605163" name="Picture 1" descr="A close-up of a logo&#10;&#10;Description automatically generated with medium confidence"/>
                    <pic:cNvPicPr/>
                  </pic:nvPicPr>
                  <pic:blipFill>
                    <a:blip r:embed="rId4">
                      <a:extLst>
                        <a:ext uri="{28A0092B-C50C-407E-A947-70E740481C1C}">
                          <a14:useLocalDpi xmlns:a14="http://schemas.microsoft.com/office/drawing/2010/main" val="0"/>
                        </a:ext>
                      </a:extLst>
                    </a:blip>
                    <a:stretch>
                      <a:fillRect/>
                    </a:stretch>
                  </pic:blipFill>
                  <pic:spPr>
                    <a:xfrm>
                      <a:off x="0" y="0"/>
                      <a:ext cx="2512060" cy="643255"/>
                    </a:xfrm>
                    <a:prstGeom prst="rect">
                      <a:avLst/>
                    </a:prstGeom>
                  </pic:spPr>
                </pic:pic>
              </a:graphicData>
            </a:graphic>
          </wp:anchor>
        </w:drawing>
      </w:r>
    </w:p>
    <w:p w14:paraId="473434F9" w14:textId="77777777" w:rsidR="002B466C" w:rsidRDefault="002B466C" w:rsidP="00D97499">
      <w:pPr>
        <w:jc w:val="center"/>
        <w:rPr>
          <w:sz w:val="44"/>
          <w:szCs w:val="44"/>
        </w:rPr>
      </w:pPr>
    </w:p>
    <w:p w14:paraId="2A5A1A07" w14:textId="232B1793" w:rsidR="009D1305" w:rsidRDefault="00D97499" w:rsidP="00D97499">
      <w:pPr>
        <w:jc w:val="center"/>
        <w:rPr>
          <w:sz w:val="44"/>
          <w:szCs w:val="44"/>
        </w:rPr>
      </w:pPr>
      <w:r w:rsidRPr="00D97499">
        <w:rPr>
          <w:sz w:val="44"/>
          <w:szCs w:val="44"/>
        </w:rPr>
        <w:t>Tax Treatment for Scholarships/Fellowship</w:t>
      </w:r>
      <w:r>
        <w:rPr>
          <w:sz w:val="44"/>
          <w:szCs w:val="44"/>
        </w:rPr>
        <w:t>s</w:t>
      </w:r>
    </w:p>
    <w:p w14:paraId="4EFECA92" w14:textId="77777777" w:rsidR="00137345" w:rsidRDefault="00137345" w:rsidP="00137345">
      <w:pPr>
        <w:pStyle w:val="NormalWeb"/>
        <w:shd w:val="clear" w:color="auto" w:fill="FFFFFF"/>
        <w:spacing w:before="360" w:beforeAutospacing="0" w:after="360" w:afterAutospacing="0"/>
        <w:rPr>
          <w:rFonts w:ascii="Trebuchet MS" w:hAnsi="Trebuchet MS"/>
          <w:b/>
          <w:bCs/>
          <w:color w:val="000E54"/>
          <w:sz w:val="30"/>
          <w:szCs w:val="30"/>
        </w:rPr>
      </w:pPr>
    </w:p>
    <w:p w14:paraId="162B1F47" w14:textId="3870C2A5" w:rsidR="00137345" w:rsidRDefault="00137345" w:rsidP="00137345">
      <w:pPr>
        <w:pStyle w:val="NormalWeb"/>
        <w:shd w:val="clear" w:color="auto" w:fill="FFFFFF"/>
        <w:spacing w:before="360" w:beforeAutospacing="0" w:after="360" w:afterAutospacing="0"/>
        <w:rPr>
          <w:color w:val="0070C0"/>
          <w:sz w:val="36"/>
          <w:szCs w:val="36"/>
        </w:rPr>
      </w:pPr>
      <w:r>
        <w:rPr>
          <w:rFonts w:ascii="Trebuchet MS" w:hAnsi="Trebuchet MS"/>
          <w:b/>
          <w:bCs/>
          <w:color w:val="000E54"/>
          <w:sz w:val="30"/>
          <w:szCs w:val="30"/>
        </w:rPr>
        <w:t>Payments for which Services are Not Required</w:t>
      </w:r>
    </w:p>
    <w:p w14:paraId="30456A1E" w14:textId="74F6DD5B" w:rsidR="00D97499" w:rsidRDefault="00D97499" w:rsidP="00D97499">
      <w:pPr>
        <w:rPr>
          <w:color w:val="000000" w:themeColor="text1"/>
          <w:sz w:val="24"/>
          <w:szCs w:val="24"/>
        </w:rPr>
      </w:pPr>
      <w:r>
        <w:rPr>
          <w:color w:val="000000" w:themeColor="text1"/>
          <w:sz w:val="24"/>
          <w:szCs w:val="24"/>
        </w:rPr>
        <w:t xml:space="preserve">As defined by the IRS: </w:t>
      </w:r>
    </w:p>
    <w:p w14:paraId="62ECACE9" w14:textId="146C36E9" w:rsidR="00D97499" w:rsidRDefault="00D97499" w:rsidP="00D97499">
      <w:pPr>
        <w:rPr>
          <w:color w:val="000000" w:themeColor="text1"/>
          <w:sz w:val="24"/>
          <w:szCs w:val="24"/>
        </w:rPr>
      </w:pPr>
      <w:r w:rsidRPr="00D97499">
        <w:rPr>
          <w:b/>
          <w:bCs/>
          <w:color w:val="000000" w:themeColor="text1"/>
          <w:sz w:val="24"/>
          <w:szCs w:val="24"/>
        </w:rPr>
        <w:t>Scholarships</w:t>
      </w:r>
      <w:r>
        <w:rPr>
          <w:color w:val="000000" w:themeColor="text1"/>
          <w:sz w:val="24"/>
          <w:szCs w:val="24"/>
        </w:rPr>
        <w:t>: Amounts paid for the benefit of a student at an educational institution to aid in the pursuit of studies.</w:t>
      </w:r>
    </w:p>
    <w:p w14:paraId="2FDC1571" w14:textId="0A92A335" w:rsidR="00D97499" w:rsidRDefault="00D97499" w:rsidP="00D97499">
      <w:pPr>
        <w:rPr>
          <w:color w:val="000000" w:themeColor="text1"/>
          <w:sz w:val="24"/>
          <w:szCs w:val="24"/>
        </w:rPr>
      </w:pPr>
      <w:r w:rsidRPr="00D97499">
        <w:rPr>
          <w:b/>
          <w:bCs/>
          <w:color w:val="000000" w:themeColor="text1"/>
          <w:sz w:val="24"/>
          <w:szCs w:val="24"/>
        </w:rPr>
        <w:t>Fellowships</w:t>
      </w:r>
      <w:r>
        <w:rPr>
          <w:color w:val="000000" w:themeColor="text1"/>
          <w:sz w:val="24"/>
          <w:szCs w:val="24"/>
        </w:rPr>
        <w:t xml:space="preserve">: Amounts paid for the benefits of an individual in the pursuit of study or research. </w:t>
      </w:r>
    </w:p>
    <w:p w14:paraId="31AF819F" w14:textId="4EA2D6AD" w:rsidR="00D97499" w:rsidRDefault="00D97499" w:rsidP="00D97499">
      <w:pPr>
        <w:rPr>
          <w:color w:val="000000" w:themeColor="text1"/>
          <w:sz w:val="24"/>
          <w:szCs w:val="24"/>
        </w:rPr>
      </w:pPr>
      <w:r w:rsidRPr="00D97499">
        <w:rPr>
          <w:b/>
          <w:bCs/>
          <w:color w:val="000000" w:themeColor="text1"/>
          <w:sz w:val="24"/>
          <w:szCs w:val="24"/>
        </w:rPr>
        <w:t>Qualified Scholarship and fellowship Grants</w:t>
      </w:r>
      <w:r>
        <w:rPr>
          <w:color w:val="000000" w:themeColor="text1"/>
          <w:sz w:val="24"/>
          <w:szCs w:val="24"/>
        </w:rPr>
        <w:t xml:space="preserve">: Amounts paid for tuition and fees required to enroll in, or to attend an educational institution, or fees, books, supplies, and equipment that are required for the courses at the educational institution. </w:t>
      </w:r>
    </w:p>
    <w:p w14:paraId="57E99796" w14:textId="73545EEC" w:rsidR="00D97499" w:rsidRDefault="00D97499" w:rsidP="00D97499">
      <w:pPr>
        <w:rPr>
          <w:color w:val="000000" w:themeColor="text1"/>
          <w:sz w:val="24"/>
          <w:szCs w:val="24"/>
        </w:rPr>
      </w:pPr>
      <w:r>
        <w:rPr>
          <w:color w:val="000000" w:themeColor="text1"/>
          <w:sz w:val="24"/>
          <w:szCs w:val="24"/>
        </w:rPr>
        <w:t xml:space="preserve">Amounts paid for incidental expenses are taxable. Incidental expenses include, but are not limited to, expenses for room and board, travel, research, clerical help, equipment, and other items not required for either enrollment of attendance at an educational institution, or in a course of instruction at an educational institution. </w:t>
      </w:r>
    </w:p>
    <w:p w14:paraId="5D8BB034" w14:textId="5AF7E71A" w:rsidR="00D97499" w:rsidRDefault="00D97499" w:rsidP="00D97499">
      <w:pPr>
        <w:rPr>
          <w:color w:val="0070C0"/>
          <w:sz w:val="36"/>
          <w:szCs w:val="36"/>
        </w:rPr>
      </w:pPr>
      <w:r>
        <w:rPr>
          <w:color w:val="000000" w:themeColor="text1"/>
          <w:sz w:val="24"/>
          <w:szCs w:val="24"/>
        </w:rPr>
        <w:t xml:space="preserve">The following table indicates the tax treatment of scholarship and fellowship payments: </w:t>
      </w:r>
    </w:p>
    <w:tbl>
      <w:tblPr>
        <w:tblStyle w:val="TableGrid"/>
        <w:tblW w:w="0" w:type="auto"/>
        <w:tblLook w:val="04A0" w:firstRow="1" w:lastRow="0" w:firstColumn="1" w:lastColumn="0" w:noHBand="0" w:noVBand="1"/>
      </w:tblPr>
      <w:tblGrid>
        <w:gridCol w:w="3116"/>
        <w:gridCol w:w="3117"/>
        <w:gridCol w:w="3117"/>
      </w:tblGrid>
      <w:tr w:rsidR="00D97499" w:rsidRPr="00D97499" w14:paraId="35582BDE" w14:textId="77777777" w:rsidTr="00D97499">
        <w:tc>
          <w:tcPr>
            <w:tcW w:w="3116" w:type="dxa"/>
            <w:shd w:val="clear" w:color="auto" w:fill="0070C0"/>
          </w:tcPr>
          <w:p w14:paraId="1FC4F503" w14:textId="62760D19" w:rsidR="00D97499" w:rsidRPr="00D97499" w:rsidRDefault="00D97499" w:rsidP="00D97499">
            <w:pPr>
              <w:jc w:val="center"/>
              <w:rPr>
                <w:color w:val="FFFFFF" w:themeColor="background1"/>
                <w:sz w:val="28"/>
                <w:szCs w:val="28"/>
              </w:rPr>
            </w:pPr>
            <w:r w:rsidRPr="00D97499">
              <w:rPr>
                <w:color w:val="FFFFFF" w:themeColor="background1"/>
                <w:sz w:val="28"/>
                <w:szCs w:val="28"/>
              </w:rPr>
              <w:t>Payment For</w:t>
            </w:r>
          </w:p>
        </w:tc>
        <w:tc>
          <w:tcPr>
            <w:tcW w:w="3117" w:type="dxa"/>
            <w:shd w:val="clear" w:color="auto" w:fill="0070C0"/>
          </w:tcPr>
          <w:p w14:paraId="61F82DA2" w14:textId="519E08A4" w:rsidR="00D97499" w:rsidRPr="00D97499" w:rsidRDefault="00D97499" w:rsidP="00D97499">
            <w:pPr>
              <w:jc w:val="center"/>
              <w:rPr>
                <w:color w:val="FFFFFF" w:themeColor="background1"/>
                <w:sz w:val="28"/>
                <w:szCs w:val="28"/>
              </w:rPr>
            </w:pPr>
            <w:r w:rsidRPr="00D97499">
              <w:rPr>
                <w:color w:val="FFFFFF" w:themeColor="background1"/>
                <w:sz w:val="28"/>
                <w:szCs w:val="28"/>
              </w:rPr>
              <w:t>Degree Candidate</w:t>
            </w:r>
          </w:p>
        </w:tc>
        <w:tc>
          <w:tcPr>
            <w:tcW w:w="3117" w:type="dxa"/>
            <w:shd w:val="clear" w:color="auto" w:fill="0070C0"/>
          </w:tcPr>
          <w:p w14:paraId="08FB8CE0" w14:textId="4B881F0F" w:rsidR="00D97499" w:rsidRPr="00D97499" w:rsidRDefault="00D97499" w:rsidP="00D97499">
            <w:pPr>
              <w:jc w:val="center"/>
              <w:rPr>
                <w:color w:val="FFFFFF" w:themeColor="background1"/>
                <w:sz w:val="28"/>
                <w:szCs w:val="28"/>
              </w:rPr>
            </w:pPr>
            <w:r w:rsidRPr="00D97499">
              <w:rPr>
                <w:color w:val="FFFFFF" w:themeColor="background1"/>
                <w:sz w:val="28"/>
                <w:szCs w:val="28"/>
              </w:rPr>
              <w:t>Not a Degree Candidate</w:t>
            </w:r>
          </w:p>
        </w:tc>
      </w:tr>
      <w:tr w:rsidR="00D97499" w14:paraId="691A81EA" w14:textId="77777777" w:rsidTr="00D97499">
        <w:tc>
          <w:tcPr>
            <w:tcW w:w="3116" w:type="dxa"/>
          </w:tcPr>
          <w:p w14:paraId="1297A9DC" w14:textId="12B7202D" w:rsidR="00D97499" w:rsidRPr="00D97499" w:rsidRDefault="00D97499" w:rsidP="002B466C">
            <w:pPr>
              <w:jc w:val="center"/>
              <w:rPr>
                <w:color w:val="000000" w:themeColor="text1"/>
                <w:sz w:val="24"/>
                <w:szCs w:val="24"/>
              </w:rPr>
            </w:pPr>
            <w:r>
              <w:rPr>
                <w:color w:val="000000" w:themeColor="text1"/>
                <w:sz w:val="24"/>
                <w:szCs w:val="24"/>
              </w:rPr>
              <w:t>Tuition</w:t>
            </w:r>
          </w:p>
        </w:tc>
        <w:tc>
          <w:tcPr>
            <w:tcW w:w="3117" w:type="dxa"/>
          </w:tcPr>
          <w:p w14:paraId="5F5C17F7" w14:textId="2AAEE579" w:rsidR="00D97499" w:rsidRPr="00D97499" w:rsidRDefault="002B466C" w:rsidP="002B466C">
            <w:pPr>
              <w:jc w:val="center"/>
              <w:rPr>
                <w:color w:val="000000" w:themeColor="text1"/>
                <w:sz w:val="24"/>
                <w:szCs w:val="24"/>
              </w:rPr>
            </w:pPr>
            <w:r>
              <w:rPr>
                <w:color w:val="000000" w:themeColor="text1"/>
                <w:sz w:val="24"/>
                <w:szCs w:val="24"/>
              </w:rPr>
              <w:t>Not Taxable</w:t>
            </w:r>
          </w:p>
        </w:tc>
        <w:tc>
          <w:tcPr>
            <w:tcW w:w="3117" w:type="dxa"/>
          </w:tcPr>
          <w:p w14:paraId="6B103DAA" w14:textId="13E3C26A" w:rsidR="00D97499" w:rsidRPr="00D97499" w:rsidRDefault="002B466C" w:rsidP="002B466C">
            <w:pPr>
              <w:jc w:val="center"/>
              <w:rPr>
                <w:color w:val="000000" w:themeColor="text1"/>
                <w:sz w:val="24"/>
                <w:szCs w:val="24"/>
              </w:rPr>
            </w:pPr>
            <w:r>
              <w:rPr>
                <w:color w:val="000000" w:themeColor="text1"/>
                <w:sz w:val="24"/>
                <w:szCs w:val="24"/>
              </w:rPr>
              <w:t>Taxable</w:t>
            </w:r>
          </w:p>
        </w:tc>
      </w:tr>
      <w:tr w:rsidR="00D97499" w14:paraId="2BE9F24A" w14:textId="77777777" w:rsidTr="00D97499">
        <w:tc>
          <w:tcPr>
            <w:tcW w:w="3116" w:type="dxa"/>
          </w:tcPr>
          <w:p w14:paraId="38F6E239" w14:textId="511C0DF5" w:rsidR="00D97499" w:rsidRPr="00D97499" w:rsidRDefault="00D97499" w:rsidP="002B466C">
            <w:pPr>
              <w:jc w:val="center"/>
              <w:rPr>
                <w:color w:val="000000" w:themeColor="text1"/>
                <w:sz w:val="24"/>
                <w:szCs w:val="24"/>
              </w:rPr>
            </w:pPr>
            <w:r>
              <w:rPr>
                <w:color w:val="000000" w:themeColor="text1"/>
                <w:sz w:val="24"/>
                <w:szCs w:val="24"/>
              </w:rPr>
              <w:t>Fees</w:t>
            </w:r>
          </w:p>
        </w:tc>
        <w:tc>
          <w:tcPr>
            <w:tcW w:w="3117" w:type="dxa"/>
          </w:tcPr>
          <w:p w14:paraId="725173FA" w14:textId="7CDD91E8" w:rsidR="00D97499" w:rsidRPr="00D97499" w:rsidRDefault="002B466C" w:rsidP="002B466C">
            <w:pPr>
              <w:jc w:val="center"/>
              <w:rPr>
                <w:color w:val="000000" w:themeColor="text1"/>
                <w:sz w:val="24"/>
                <w:szCs w:val="24"/>
              </w:rPr>
            </w:pPr>
            <w:r>
              <w:rPr>
                <w:color w:val="000000" w:themeColor="text1"/>
                <w:sz w:val="24"/>
                <w:szCs w:val="24"/>
              </w:rPr>
              <w:t>Not Taxable</w:t>
            </w:r>
          </w:p>
        </w:tc>
        <w:tc>
          <w:tcPr>
            <w:tcW w:w="3117" w:type="dxa"/>
          </w:tcPr>
          <w:p w14:paraId="39DB44C4" w14:textId="0A064A6A" w:rsidR="00D97499" w:rsidRPr="00D97499" w:rsidRDefault="002B466C" w:rsidP="002B466C">
            <w:pPr>
              <w:jc w:val="center"/>
              <w:rPr>
                <w:color w:val="000000" w:themeColor="text1"/>
                <w:sz w:val="24"/>
                <w:szCs w:val="24"/>
              </w:rPr>
            </w:pPr>
            <w:r>
              <w:rPr>
                <w:color w:val="000000" w:themeColor="text1"/>
                <w:sz w:val="24"/>
                <w:szCs w:val="24"/>
              </w:rPr>
              <w:t>Taxable</w:t>
            </w:r>
          </w:p>
        </w:tc>
      </w:tr>
      <w:tr w:rsidR="00D97499" w14:paraId="17892583" w14:textId="77777777" w:rsidTr="00D97499">
        <w:tc>
          <w:tcPr>
            <w:tcW w:w="3116" w:type="dxa"/>
          </w:tcPr>
          <w:p w14:paraId="4900C79D" w14:textId="748708E4" w:rsidR="00D97499" w:rsidRPr="00D97499" w:rsidRDefault="00D97499" w:rsidP="002B466C">
            <w:pPr>
              <w:jc w:val="center"/>
              <w:rPr>
                <w:color w:val="000000" w:themeColor="text1"/>
                <w:sz w:val="24"/>
                <w:szCs w:val="24"/>
              </w:rPr>
            </w:pPr>
            <w:r>
              <w:rPr>
                <w:color w:val="000000" w:themeColor="text1"/>
                <w:sz w:val="24"/>
                <w:szCs w:val="24"/>
              </w:rPr>
              <w:t>Books*</w:t>
            </w:r>
          </w:p>
        </w:tc>
        <w:tc>
          <w:tcPr>
            <w:tcW w:w="3117" w:type="dxa"/>
          </w:tcPr>
          <w:p w14:paraId="3DF6BDDB" w14:textId="5B337C92" w:rsidR="00D97499" w:rsidRPr="00D97499" w:rsidRDefault="002B466C" w:rsidP="002B466C">
            <w:pPr>
              <w:jc w:val="center"/>
              <w:rPr>
                <w:color w:val="000000" w:themeColor="text1"/>
                <w:sz w:val="24"/>
                <w:szCs w:val="24"/>
              </w:rPr>
            </w:pPr>
            <w:r>
              <w:rPr>
                <w:color w:val="000000" w:themeColor="text1"/>
                <w:sz w:val="24"/>
                <w:szCs w:val="24"/>
              </w:rPr>
              <w:t>Not Taxable</w:t>
            </w:r>
          </w:p>
        </w:tc>
        <w:tc>
          <w:tcPr>
            <w:tcW w:w="3117" w:type="dxa"/>
          </w:tcPr>
          <w:p w14:paraId="3DDE6302" w14:textId="2E617A62" w:rsidR="00D97499" w:rsidRPr="00D97499" w:rsidRDefault="002B466C" w:rsidP="002B466C">
            <w:pPr>
              <w:jc w:val="center"/>
              <w:rPr>
                <w:color w:val="000000" w:themeColor="text1"/>
                <w:sz w:val="24"/>
                <w:szCs w:val="24"/>
              </w:rPr>
            </w:pPr>
            <w:r>
              <w:rPr>
                <w:color w:val="000000" w:themeColor="text1"/>
                <w:sz w:val="24"/>
                <w:szCs w:val="24"/>
              </w:rPr>
              <w:t>Taxable</w:t>
            </w:r>
          </w:p>
        </w:tc>
      </w:tr>
      <w:tr w:rsidR="00D97499" w14:paraId="5363F630" w14:textId="77777777" w:rsidTr="00D97499">
        <w:tc>
          <w:tcPr>
            <w:tcW w:w="3116" w:type="dxa"/>
          </w:tcPr>
          <w:p w14:paraId="0370C7A5" w14:textId="78BFEEBC" w:rsidR="00D97499" w:rsidRPr="00D97499" w:rsidRDefault="00D97499" w:rsidP="002B466C">
            <w:pPr>
              <w:jc w:val="center"/>
              <w:rPr>
                <w:color w:val="000000" w:themeColor="text1"/>
                <w:sz w:val="24"/>
                <w:szCs w:val="24"/>
              </w:rPr>
            </w:pPr>
            <w:r>
              <w:rPr>
                <w:color w:val="000000" w:themeColor="text1"/>
                <w:sz w:val="24"/>
                <w:szCs w:val="24"/>
              </w:rPr>
              <w:t>Supplies</w:t>
            </w:r>
          </w:p>
        </w:tc>
        <w:tc>
          <w:tcPr>
            <w:tcW w:w="3117" w:type="dxa"/>
          </w:tcPr>
          <w:p w14:paraId="18A7A922" w14:textId="613EE0A7" w:rsidR="00D97499" w:rsidRPr="00D97499" w:rsidRDefault="002B466C" w:rsidP="002B466C">
            <w:pPr>
              <w:jc w:val="center"/>
              <w:rPr>
                <w:color w:val="000000" w:themeColor="text1"/>
                <w:sz w:val="24"/>
                <w:szCs w:val="24"/>
              </w:rPr>
            </w:pPr>
            <w:r>
              <w:rPr>
                <w:color w:val="000000" w:themeColor="text1"/>
                <w:sz w:val="24"/>
                <w:szCs w:val="24"/>
              </w:rPr>
              <w:t>Not Taxable</w:t>
            </w:r>
          </w:p>
        </w:tc>
        <w:tc>
          <w:tcPr>
            <w:tcW w:w="3117" w:type="dxa"/>
          </w:tcPr>
          <w:p w14:paraId="73104CEC" w14:textId="6CA0CC14" w:rsidR="00D97499" w:rsidRPr="00D97499" w:rsidRDefault="002B466C" w:rsidP="002B466C">
            <w:pPr>
              <w:jc w:val="center"/>
              <w:rPr>
                <w:color w:val="000000" w:themeColor="text1"/>
                <w:sz w:val="24"/>
                <w:szCs w:val="24"/>
              </w:rPr>
            </w:pPr>
            <w:r>
              <w:rPr>
                <w:color w:val="000000" w:themeColor="text1"/>
                <w:sz w:val="24"/>
                <w:szCs w:val="24"/>
              </w:rPr>
              <w:t>Taxable</w:t>
            </w:r>
          </w:p>
        </w:tc>
      </w:tr>
      <w:tr w:rsidR="00D97499" w14:paraId="5C652B63" w14:textId="77777777" w:rsidTr="00D97499">
        <w:tc>
          <w:tcPr>
            <w:tcW w:w="3116" w:type="dxa"/>
          </w:tcPr>
          <w:p w14:paraId="3CE88467" w14:textId="074A66D6" w:rsidR="00D97499" w:rsidRPr="00D97499" w:rsidRDefault="00D97499" w:rsidP="002B466C">
            <w:pPr>
              <w:jc w:val="center"/>
              <w:rPr>
                <w:color w:val="000000" w:themeColor="text1"/>
                <w:sz w:val="24"/>
                <w:szCs w:val="24"/>
              </w:rPr>
            </w:pPr>
            <w:r>
              <w:rPr>
                <w:color w:val="000000" w:themeColor="text1"/>
                <w:sz w:val="24"/>
                <w:szCs w:val="24"/>
              </w:rPr>
              <w:t>Equipment</w:t>
            </w:r>
          </w:p>
        </w:tc>
        <w:tc>
          <w:tcPr>
            <w:tcW w:w="3117" w:type="dxa"/>
          </w:tcPr>
          <w:p w14:paraId="3F2C2BA6" w14:textId="443D4AEC" w:rsidR="00D97499" w:rsidRPr="00D97499" w:rsidRDefault="002B466C" w:rsidP="002B466C">
            <w:pPr>
              <w:jc w:val="center"/>
              <w:rPr>
                <w:color w:val="000000" w:themeColor="text1"/>
                <w:sz w:val="24"/>
                <w:szCs w:val="24"/>
              </w:rPr>
            </w:pPr>
            <w:r>
              <w:rPr>
                <w:color w:val="000000" w:themeColor="text1"/>
                <w:sz w:val="24"/>
                <w:szCs w:val="24"/>
              </w:rPr>
              <w:t>Not Taxable</w:t>
            </w:r>
          </w:p>
        </w:tc>
        <w:tc>
          <w:tcPr>
            <w:tcW w:w="3117" w:type="dxa"/>
          </w:tcPr>
          <w:p w14:paraId="1C935D0B" w14:textId="6FC20A3B" w:rsidR="00D97499" w:rsidRPr="00D97499" w:rsidRDefault="002B466C" w:rsidP="002B466C">
            <w:pPr>
              <w:jc w:val="center"/>
              <w:rPr>
                <w:color w:val="000000" w:themeColor="text1"/>
                <w:sz w:val="24"/>
                <w:szCs w:val="24"/>
              </w:rPr>
            </w:pPr>
            <w:r>
              <w:rPr>
                <w:color w:val="000000" w:themeColor="text1"/>
                <w:sz w:val="24"/>
                <w:szCs w:val="24"/>
              </w:rPr>
              <w:t>Taxable</w:t>
            </w:r>
          </w:p>
        </w:tc>
      </w:tr>
      <w:tr w:rsidR="00D97499" w14:paraId="38283F65" w14:textId="77777777" w:rsidTr="00D97499">
        <w:tc>
          <w:tcPr>
            <w:tcW w:w="3116" w:type="dxa"/>
          </w:tcPr>
          <w:p w14:paraId="303E5E3E" w14:textId="610D2994" w:rsidR="00D97499" w:rsidRPr="00D97499" w:rsidRDefault="00D97499" w:rsidP="002B466C">
            <w:pPr>
              <w:jc w:val="center"/>
              <w:rPr>
                <w:color w:val="000000" w:themeColor="text1"/>
                <w:sz w:val="24"/>
                <w:szCs w:val="24"/>
              </w:rPr>
            </w:pPr>
            <w:r>
              <w:rPr>
                <w:color w:val="000000" w:themeColor="text1"/>
                <w:sz w:val="24"/>
                <w:szCs w:val="24"/>
              </w:rPr>
              <w:t>Room</w:t>
            </w:r>
          </w:p>
        </w:tc>
        <w:tc>
          <w:tcPr>
            <w:tcW w:w="3117" w:type="dxa"/>
          </w:tcPr>
          <w:p w14:paraId="63B22BDD" w14:textId="135A9A54" w:rsidR="00D97499" w:rsidRPr="00D97499" w:rsidRDefault="002B466C" w:rsidP="002B466C">
            <w:pPr>
              <w:jc w:val="center"/>
              <w:rPr>
                <w:color w:val="000000" w:themeColor="text1"/>
                <w:sz w:val="24"/>
                <w:szCs w:val="24"/>
              </w:rPr>
            </w:pPr>
            <w:r>
              <w:rPr>
                <w:color w:val="000000" w:themeColor="text1"/>
                <w:sz w:val="24"/>
                <w:szCs w:val="24"/>
              </w:rPr>
              <w:t>Taxable</w:t>
            </w:r>
          </w:p>
        </w:tc>
        <w:tc>
          <w:tcPr>
            <w:tcW w:w="3117" w:type="dxa"/>
          </w:tcPr>
          <w:p w14:paraId="4549B818" w14:textId="020F7A17" w:rsidR="00D97499" w:rsidRPr="00D97499" w:rsidRDefault="002B466C" w:rsidP="002B466C">
            <w:pPr>
              <w:jc w:val="center"/>
              <w:rPr>
                <w:color w:val="000000" w:themeColor="text1"/>
                <w:sz w:val="24"/>
                <w:szCs w:val="24"/>
              </w:rPr>
            </w:pPr>
            <w:r>
              <w:rPr>
                <w:color w:val="000000" w:themeColor="text1"/>
                <w:sz w:val="24"/>
                <w:szCs w:val="24"/>
              </w:rPr>
              <w:t>Taxable</w:t>
            </w:r>
          </w:p>
        </w:tc>
      </w:tr>
      <w:tr w:rsidR="00D97499" w14:paraId="54FB5C76" w14:textId="77777777" w:rsidTr="00D97499">
        <w:tc>
          <w:tcPr>
            <w:tcW w:w="3116" w:type="dxa"/>
          </w:tcPr>
          <w:p w14:paraId="7B14D4E3" w14:textId="4CF45597" w:rsidR="00D97499" w:rsidRPr="00D97499" w:rsidRDefault="00D97499" w:rsidP="002B466C">
            <w:pPr>
              <w:jc w:val="center"/>
              <w:rPr>
                <w:color w:val="000000" w:themeColor="text1"/>
                <w:sz w:val="24"/>
                <w:szCs w:val="24"/>
              </w:rPr>
            </w:pPr>
            <w:r>
              <w:rPr>
                <w:color w:val="000000" w:themeColor="text1"/>
                <w:sz w:val="24"/>
                <w:szCs w:val="24"/>
              </w:rPr>
              <w:t>Board</w:t>
            </w:r>
          </w:p>
        </w:tc>
        <w:tc>
          <w:tcPr>
            <w:tcW w:w="3117" w:type="dxa"/>
          </w:tcPr>
          <w:p w14:paraId="69380871" w14:textId="15DF3720" w:rsidR="00D97499" w:rsidRPr="00D97499" w:rsidRDefault="002B466C" w:rsidP="002B466C">
            <w:pPr>
              <w:jc w:val="center"/>
              <w:rPr>
                <w:color w:val="000000" w:themeColor="text1"/>
                <w:sz w:val="24"/>
                <w:szCs w:val="24"/>
              </w:rPr>
            </w:pPr>
            <w:r>
              <w:rPr>
                <w:color w:val="000000" w:themeColor="text1"/>
                <w:sz w:val="24"/>
                <w:szCs w:val="24"/>
              </w:rPr>
              <w:t>Taxable</w:t>
            </w:r>
          </w:p>
        </w:tc>
        <w:tc>
          <w:tcPr>
            <w:tcW w:w="3117" w:type="dxa"/>
          </w:tcPr>
          <w:p w14:paraId="25A8BA2F" w14:textId="26CB7330" w:rsidR="00D97499" w:rsidRPr="00D97499" w:rsidRDefault="002B466C" w:rsidP="002B466C">
            <w:pPr>
              <w:jc w:val="center"/>
              <w:rPr>
                <w:color w:val="000000" w:themeColor="text1"/>
                <w:sz w:val="24"/>
                <w:szCs w:val="24"/>
              </w:rPr>
            </w:pPr>
            <w:r>
              <w:rPr>
                <w:color w:val="000000" w:themeColor="text1"/>
                <w:sz w:val="24"/>
                <w:szCs w:val="24"/>
              </w:rPr>
              <w:t>Taxable</w:t>
            </w:r>
          </w:p>
        </w:tc>
      </w:tr>
      <w:tr w:rsidR="00D97499" w14:paraId="06466979" w14:textId="77777777" w:rsidTr="00D97499">
        <w:tc>
          <w:tcPr>
            <w:tcW w:w="3116" w:type="dxa"/>
          </w:tcPr>
          <w:p w14:paraId="436CBFA0" w14:textId="57224B5D" w:rsidR="00D97499" w:rsidRPr="00D97499" w:rsidRDefault="00D97499" w:rsidP="002B466C">
            <w:pPr>
              <w:jc w:val="center"/>
              <w:rPr>
                <w:color w:val="000000" w:themeColor="text1"/>
                <w:sz w:val="24"/>
                <w:szCs w:val="24"/>
              </w:rPr>
            </w:pPr>
            <w:r>
              <w:rPr>
                <w:color w:val="000000" w:themeColor="text1"/>
                <w:sz w:val="24"/>
                <w:szCs w:val="24"/>
              </w:rPr>
              <w:t>Travel</w:t>
            </w:r>
          </w:p>
        </w:tc>
        <w:tc>
          <w:tcPr>
            <w:tcW w:w="3117" w:type="dxa"/>
          </w:tcPr>
          <w:p w14:paraId="3E002402" w14:textId="2F52795A" w:rsidR="00D97499" w:rsidRPr="00D97499" w:rsidRDefault="002B466C" w:rsidP="002B466C">
            <w:pPr>
              <w:jc w:val="center"/>
              <w:rPr>
                <w:color w:val="000000" w:themeColor="text1"/>
                <w:sz w:val="24"/>
                <w:szCs w:val="24"/>
              </w:rPr>
            </w:pPr>
            <w:r>
              <w:rPr>
                <w:color w:val="000000" w:themeColor="text1"/>
                <w:sz w:val="24"/>
                <w:szCs w:val="24"/>
              </w:rPr>
              <w:t>Taxable</w:t>
            </w:r>
          </w:p>
        </w:tc>
        <w:tc>
          <w:tcPr>
            <w:tcW w:w="3117" w:type="dxa"/>
          </w:tcPr>
          <w:p w14:paraId="26723420" w14:textId="660EC012" w:rsidR="00D97499" w:rsidRPr="00D97499" w:rsidRDefault="002B466C" w:rsidP="002B466C">
            <w:pPr>
              <w:jc w:val="center"/>
              <w:rPr>
                <w:color w:val="000000" w:themeColor="text1"/>
                <w:sz w:val="24"/>
                <w:szCs w:val="24"/>
              </w:rPr>
            </w:pPr>
            <w:r>
              <w:rPr>
                <w:color w:val="000000" w:themeColor="text1"/>
                <w:sz w:val="24"/>
                <w:szCs w:val="24"/>
              </w:rPr>
              <w:t>Taxable</w:t>
            </w:r>
          </w:p>
        </w:tc>
      </w:tr>
    </w:tbl>
    <w:p w14:paraId="054B067D" w14:textId="3C6FAC20" w:rsidR="002B466C" w:rsidRDefault="002B466C" w:rsidP="002B466C">
      <w:pPr>
        <w:rPr>
          <w:color w:val="000000" w:themeColor="text1"/>
          <w:sz w:val="24"/>
          <w:szCs w:val="24"/>
        </w:rPr>
      </w:pPr>
      <w:r w:rsidRPr="002B466C">
        <w:rPr>
          <w:color w:val="000000" w:themeColor="text1"/>
          <w:sz w:val="24"/>
          <w:szCs w:val="24"/>
        </w:rPr>
        <w:t>*Must</w:t>
      </w:r>
      <w:r>
        <w:rPr>
          <w:color w:val="000000" w:themeColor="text1"/>
          <w:sz w:val="24"/>
          <w:szCs w:val="24"/>
        </w:rPr>
        <w:t xml:space="preserve"> be required of all students in a course of instruction at an educational institution. </w:t>
      </w:r>
    </w:p>
    <w:p w14:paraId="4EC6E61C" w14:textId="77777777" w:rsidR="00137345" w:rsidRDefault="00137345" w:rsidP="002B466C">
      <w:pPr>
        <w:rPr>
          <w:color w:val="000000" w:themeColor="text1"/>
          <w:sz w:val="24"/>
          <w:szCs w:val="24"/>
        </w:rPr>
      </w:pPr>
    </w:p>
    <w:p w14:paraId="3980F4B1" w14:textId="77777777" w:rsidR="00137345" w:rsidRDefault="00137345" w:rsidP="00137345">
      <w:pPr>
        <w:pStyle w:val="NormalWeb"/>
        <w:shd w:val="clear" w:color="auto" w:fill="FFFFFF"/>
        <w:spacing w:before="360" w:beforeAutospacing="0" w:after="360" w:afterAutospacing="0"/>
        <w:rPr>
          <w:rFonts w:ascii="Trebuchet MS" w:hAnsi="Trebuchet MS"/>
          <w:b/>
          <w:bCs/>
          <w:color w:val="000E54"/>
          <w:sz w:val="30"/>
          <w:szCs w:val="30"/>
        </w:rPr>
      </w:pPr>
    </w:p>
    <w:p w14:paraId="682E5FA9" w14:textId="52343FD0" w:rsidR="00137345" w:rsidRDefault="00137345" w:rsidP="00137345">
      <w:pPr>
        <w:pStyle w:val="NormalWeb"/>
        <w:shd w:val="clear" w:color="auto" w:fill="FFFFFF"/>
        <w:spacing w:before="360" w:beforeAutospacing="0" w:after="360" w:afterAutospacing="0"/>
        <w:rPr>
          <w:rFonts w:ascii="Trebuchet MS" w:hAnsi="Trebuchet MS"/>
          <w:color w:val="000E54"/>
          <w:sz w:val="30"/>
          <w:szCs w:val="30"/>
        </w:rPr>
      </w:pPr>
      <w:r>
        <w:rPr>
          <w:rFonts w:ascii="Trebuchet MS" w:hAnsi="Trebuchet MS"/>
          <w:b/>
          <w:bCs/>
          <w:color w:val="000E54"/>
          <w:sz w:val="30"/>
          <w:szCs w:val="30"/>
        </w:rPr>
        <w:lastRenderedPageBreak/>
        <w:t>U.S. Citizens and Permanent Residents</w:t>
      </w:r>
    </w:p>
    <w:p w14:paraId="5618C609" w14:textId="77777777" w:rsidR="00137345" w:rsidRPr="00137345" w:rsidRDefault="00137345" w:rsidP="00137345">
      <w:pPr>
        <w:pStyle w:val="NormalWeb"/>
        <w:shd w:val="clear" w:color="auto" w:fill="FFFFFF"/>
        <w:spacing w:before="360" w:beforeAutospacing="0" w:after="360" w:afterAutospacing="0"/>
        <w:rPr>
          <w:rFonts w:asciiTheme="minorHAnsi" w:hAnsiTheme="minorHAnsi" w:cstheme="minorHAnsi"/>
          <w:color w:val="000000" w:themeColor="text1"/>
        </w:rPr>
      </w:pPr>
      <w:r w:rsidRPr="00137345">
        <w:rPr>
          <w:rFonts w:asciiTheme="minorHAnsi" w:hAnsiTheme="minorHAnsi" w:cstheme="minorHAnsi"/>
          <w:color w:val="000000" w:themeColor="text1"/>
        </w:rPr>
        <w:t>U.S. Citizens and Permanent Residents must have a Social Security Number in order to receive a scholarship or fellowship from Syracuse University.</w:t>
      </w:r>
    </w:p>
    <w:p w14:paraId="0F7239D7" w14:textId="77777777" w:rsidR="00137345" w:rsidRPr="00137345" w:rsidRDefault="00137345" w:rsidP="00137345">
      <w:pPr>
        <w:pStyle w:val="NormalWeb"/>
        <w:shd w:val="clear" w:color="auto" w:fill="FFFFFF"/>
        <w:spacing w:before="360" w:beforeAutospacing="0" w:after="360" w:afterAutospacing="0"/>
        <w:rPr>
          <w:rFonts w:asciiTheme="minorHAnsi" w:hAnsiTheme="minorHAnsi" w:cstheme="minorHAnsi"/>
          <w:color w:val="000000" w:themeColor="text1"/>
        </w:rPr>
      </w:pPr>
      <w:r w:rsidRPr="00137345">
        <w:rPr>
          <w:rFonts w:asciiTheme="minorHAnsi" w:hAnsiTheme="minorHAnsi" w:cstheme="minorHAnsi"/>
          <w:color w:val="000000" w:themeColor="text1"/>
        </w:rPr>
        <w:t>By law, the grantor of scholarships and fellowships to United States citizens and permanent residents of the United States is not required to report these payments to the Internal Revenue Service or to the recipient. Likewise, there is no tax withholding required. It is the responsibility of the individual receiving the scholarship or fellowship to determine whether it is taxable and to report such payments as required on their personal income tax return.</w:t>
      </w:r>
    </w:p>
    <w:p w14:paraId="2C21962B" w14:textId="562C8872" w:rsidR="00137345" w:rsidRPr="00137345" w:rsidRDefault="00137345" w:rsidP="00137345">
      <w:pPr>
        <w:pStyle w:val="NormalWeb"/>
        <w:shd w:val="clear" w:color="auto" w:fill="FFFFFF"/>
        <w:spacing w:before="360" w:beforeAutospacing="0" w:after="360" w:afterAutospacing="0"/>
        <w:rPr>
          <w:rFonts w:asciiTheme="minorHAnsi" w:hAnsiTheme="minorHAnsi" w:cstheme="minorHAnsi"/>
          <w:color w:val="000000" w:themeColor="text1"/>
        </w:rPr>
      </w:pPr>
      <w:r w:rsidRPr="00137345">
        <w:rPr>
          <w:rFonts w:asciiTheme="minorHAnsi" w:hAnsiTheme="minorHAnsi" w:cstheme="minorHAnsi"/>
          <w:color w:val="000000" w:themeColor="text1"/>
        </w:rPr>
        <w:t xml:space="preserve">Internal Revenue Service Publication 970 – Tax Benefits for Education provides additional </w:t>
      </w:r>
      <w:r w:rsidRPr="00137345">
        <w:rPr>
          <w:rFonts w:asciiTheme="minorHAnsi" w:hAnsiTheme="minorHAnsi" w:cstheme="minorHAnsi"/>
          <w:color w:val="000000" w:themeColor="text1"/>
        </w:rPr>
        <w:t>information and</w:t>
      </w:r>
      <w:r w:rsidRPr="00137345">
        <w:rPr>
          <w:rFonts w:asciiTheme="minorHAnsi" w:hAnsiTheme="minorHAnsi" w:cstheme="minorHAnsi"/>
          <w:color w:val="000000" w:themeColor="text1"/>
        </w:rPr>
        <w:t xml:space="preserve"> may be obtained from the Internal Revenue Service website or by calling 1-800-829-3676.</w:t>
      </w:r>
    </w:p>
    <w:p w14:paraId="2CBA857C" w14:textId="77777777" w:rsidR="00137345" w:rsidRDefault="00137345" w:rsidP="00137345">
      <w:pPr>
        <w:pStyle w:val="NormalWeb"/>
        <w:shd w:val="clear" w:color="auto" w:fill="FFFFFF"/>
        <w:spacing w:before="360" w:beforeAutospacing="0" w:after="360" w:afterAutospacing="0"/>
        <w:rPr>
          <w:rFonts w:ascii="Trebuchet MS" w:hAnsi="Trebuchet MS"/>
          <w:color w:val="000E54"/>
          <w:sz w:val="30"/>
          <w:szCs w:val="30"/>
        </w:rPr>
      </w:pPr>
      <w:r>
        <w:rPr>
          <w:rFonts w:ascii="Trebuchet MS" w:hAnsi="Trebuchet MS"/>
          <w:b/>
          <w:bCs/>
          <w:color w:val="000E54"/>
          <w:sz w:val="30"/>
          <w:szCs w:val="30"/>
        </w:rPr>
        <w:t>Non-Resident Aliens</w:t>
      </w:r>
    </w:p>
    <w:p w14:paraId="0A9FAE35" w14:textId="77777777" w:rsidR="00137345" w:rsidRPr="00137345" w:rsidRDefault="00137345" w:rsidP="00137345">
      <w:pPr>
        <w:pStyle w:val="NormalWeb"/>
        <w:shd w:val="clear" w:color="auto" w:fill="FFFFFF"/>
        <w:spacing w:before="360" w:beforeAutospacing="0" w:after="360" w:afterAutospacing="0"/>
        <w:rPr>
          <w:rFonts w:asciiTheme="minorHAnsi" w:hAnsiTheme="minorHAnsi" w:cstheme="minorHAnsi"/>
          <w:color w:val="000000" w:themeColor="text1"/>
        </w:rPr>
      </w:pPr>
      <w:r w:rsidRPr="00137345">
        <w:rPr>
          <w:rFonts w:asciiTheme="minorHAnsi" w:hAnsiTheme="minorHAnsi" w:cstheme="minorHAnsi"/>
          <w:color w:val="000000" w:themeColor="text1"/>
        </w:rPr>
        <w:t>Non-resident aliens must have a Social Security Number or an individual taxpayer identification number in order to receive a scholarship or fellowship from Syracuse University. Non-qualified scholarships and fellowships given to non-resident aliens must be reported to the Internal Revenue Service and to the recipient on form 1042-S.</w:t>
      </w:r>
    </w:p>
    <w:p w14:paraId="2AEAD7A9" w14:textId="77777777" w:rsidR="00137345" w:rsidRPr="00137345" w:rsidRDefault="00137345" w:rsidP="00137345">
      <w:pPr>
        <w:pStyle w:val="NormalWeb"/>
        <w:shd w:val="clear" w:color="auto" w:fill="FFFFFF"/>
        <w:spacing w:before="360" w:beforeAutospacing="0" w:after="360" w:afterAutospacing="0"/>
        <w:rPr>
          <w:rFonts w:asciiTheme="minorHAnsi" w:hAnsiTheme="minorHAnsi" w:cstheme="minorHAnsi"/>
          <w:color w:val="000000" w:themeColor="text1"/>
        </w:rPr>
      </w:pPr>
      <w:r w:rsidRPr="00137345">
        <w:rPr>
          <w:rFonts w:asciiTheme="minorHAnsi" w:hAnsiTheme="minorHAnsi" w:cstheme="minorHAnsi"/>
          <w:color w:val="000000" w:themeColor="text1"/>
        </w:rPr>
        <w:t>Qualified scholarships (scholarships for tuition and fees required for enrollment at Syracuse University) granted to candidates for a degree are not subject to tax withholding. Absent the existence of a tax treaty with an appropriate provision, scholarships and fellowships that are not applied directly to tuition and fees required to enroll in, or to attend an educational institution, or that exceed such fees, when given to non-resident aliens must have taxes withheld (at a rate of 14% for individuals on an F, J, M, or Q visa), even if the excess moneys are used for the purposes described above as being tax free. Where appropriate, the individual may apply for a tax refund upon filing their personal income tax return.</w:t>
      </w:r>
    </w:p>
    <w:p w14:paraId="0E602EE9" w14:textId="77777777" w:rsidR="00137345" w:rsidRPr="00137345" w:rsidRDefault="00137345" w:rsidP="00137345">
      <w:pPr>
        <w:pStyle w:val="NormalWeb"/>
        <w:shd w:val="clear" w:color="auto" w:fill="FFFFFF"/>
        <w:spacing w:before="360" w:beforeAutospacing="0" w:after="360" w:afterAutospacing="0"/>
        <w:rPr>
          <w:rFonts w:asciiTheme="minorHAnsi" w:hAnsiTheme="minorHAnsi" w:cstheme="minorHAnsi"/>
          <w:color w:val="000000" w:themeColor="text1"/>
        </w:rPr>
      </w:pPr>
      <w:r w:rsidRPr="00137345">
        <w:rPr>
          <w:rFonts w:asciiTheme="minorHAnsi" w:hAnsiTheme="minorHAnsi" w:cstheme="minorHAnsi"/>
          <w:color w:val="000000" w:themeColor="text1"/>
        </w:rPr>
        <w:t xml:space="preserve">Absent the existence of a tax treaty with an appropriate provision, all </w:t>
      </w:r>
      <w:proofErr w:type="gramStart"/>
      <w:r w:rsidRPr="00137345">
        <w:rPr>
          <w:rFonts w:asciiTheme="minorHAnsi" w:hAnsiTheme="minorHAnsi" w:cstheme="minorHAnsi"/>
          <w:color w:val="000000" w:themeColor="text1"/>
        </w:rPr>
        <w:t>scholarships</w:t>
      </w:r>
      <w:proofErr w:type="gramEnd"/>
      <w:r w:rsidRPr="00137345">
        <w:rPr>
          <w:rFonts w:asciiTheme="minorHAnsi" w:hAnsiTheme="minorHAnsi" w:cstheme="minorHAnsi"/>
          <w:color w:val="000000" w:themeColor="text1"/>
        </w:rPr>
        <w:t xml:space="preserve"> or fellowships (qualified and not qualified) for study, training or research at an educational institution granted to individuals who are not candidates for a degree, that are present in the U.S. on an F, J, M, or Q visa, are subject to withholding at 14%.</w:t>
      </w:r>
    </w:p>
    <w:p w14:paraId="1AF4632F" w14:textId="77777777" w:rsidR="00137345" w:rsidRPr="00137345" w:rsidRDefault="00137345" w:rsidP="00137345">
      <w:pPr>
        <w:pStyle w:val="NormalWeb"/>
        <w:shd w:val="clear" w:color="auto" w:fill="FFFFFF"/>
        <w:spacing w:before="360" w:beforeAutospacing="0" w:after="360" w:afterAutospacing="0"/>
        <w:rPr>
          <w:rFonts w:asciiTheme="minorHAnsi" w:hAnsiTheme="minorHAnsi" w:cstheme="minorHAnsi"/>
          <w:color w:val="000000" w:themeColor="text1"/>
        </w:rPr>
      </w:pPr>
      <w:r w:rsidRPr="00137345">
        <w:rPr>
          <w:rFonts w:asciiTheme="minorHAnsi" w:hAnsiTheme="minorHAnsi" w:cstheme="minorHAnsi"/>
          <w:color w:val="000000" w:themeColor="text1"/>
        </w:rPr>
        <w:t>Non-qualified scholarships and fellowships other than those described above are subject to withholding at 30%.</w:t>
      </w:r>
    </w:p>
    <w:p w14:paraId="442774F4" w14:textId="77777777" w:rsidR="00137345" w:rsidRPr="002B466C" w:rsidRDefault="00137345" w:rsidP="002B466C">
      <w:pPr>
        <w:rPr>
          <w:color w:val="000000" w:themeColor="text1"/>
          <w:sz w:val="24"/>
          <w:szCs w:val="24"/>
        </w:rPr>
      </w:pPr>
    </w:p>
    <w:sectPr w:rsidR="00137345" w:rsidRPr="002B4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99"/>
    <w:rsid w:val="00137345"/>
    <w:rsid w:val="00186776"/>
    <w:rsid w:val="002B466C"/>
    <w:rsid w:val="009D1305"/>
    <w:rsid w:val="00D9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B777"/>
  <w15:chartTrackingRefBased/>
  <w15:docId w15:val="{072DF8B7-6EBD-4FDE-A553-D8EDD6142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73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4475">
      <w:bodyDiv w:val="1"/>
      <w:marLeft w:val="0"/>
      <w:marRight w:val="0"/>
      <w:marTop w:val="0"/>
      <w:marBottom w:val="0"/>
      <w:divBdr>
        <w:top w:val="none" w:sz="0" w:space="0" w:color="auto"/>
        <w:left w:val="none" w:sz="0" w:space="0" w:color="auto"/>
        <w:bottom w:val="none" w:sz="0" w:space="0" w:color="auto"/>
        <w:right w:val="none" w:sz="0" w:space="0" w:color="auto"/>
      </w:divBdr>
    </w:div>
    <w:div w:id="158113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E48B523623A4F9A42DCB1D060D5F2" ma:contentTypeVersion="15" ma:contentTypeDescription="Create a new document." ma:contentTypeScope="" ma:versionID="da2eed7dd88738c887d9901458738483">
  <xsd:schema xmlns:xsd="http://www.w3.org/2001/XMLSchema" xmlns:xs="http://www.w3.org/2001/XMLSchema" xmlns:p="http://schemas.microsoft.com/office/2006/metadata/properties" xmlns:ns2="a7ff315c-df75-479c-aca9-8cb80bf713a6" xmlns:ns3="86cd11c8-9222-49d0-9cd5-bebc879c8705" targetNamespace="http://schemas.microsoft.com/office/2006/metadata/properties" ma:root="true" ma:fieldsID="2002c51f0f473339bd033e4e1288b608" ns2:_="" ns3:_="">
    <xsd:import namespace="a7ff315c-df75-479c-aca9-8cb80bf713a6"/>
    <xsd:import namespace="86cd11c8-9222-49d0-9cd5-bebc879c8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f315c-df75-479c-aca9-8cb80bf71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d11c8-9222-49d0-9cd5-bebc879c87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378624-9cff-4ec4-93b4-609ddd94863d}" ma:internalName="TaxCatchAll" ma:showField="CatchAllData" ma:web="86cd11c8-9222-49d0-9cd5-bebc879c8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f315c-df75-479c-aca9-8cb80bf713a6">
      <Terms xmlns="http://schemas.microsoft.com/office/infopath/2007/PartnerControls"/>
    </lcf76f155ced4ddcb4097134ff3c332f>
    <TaxCatchAll xmlns="86cd11c8-9222-49d0-9cd5-bebc879c8705" xsi:nil="true"/>
  </documentManagement>
</p:properties>
</file>

<file path=customXml/itemProps1.xml><?xml version="1.0" encoding="utf-8"?>
<ds:datastoreItem xmlns:ds="http://schemas.openxmlformats.org/officeDocument/2006/customXml" ds:itemID="{7FBEEBAC-BB7D-4BE9-AF65-9AC7A8676D12}"/>
</file>

<file path=customXml/itemProps2.xml><?xml version="1.0" encoding="utf-8"?>
<ds:datastoreItem xmlns:ds="http://schemas.openxmlformats.org/officeDocument/2006/customXml" ds:itemID="{2AA2FCFE-2544-43B2-96FC-7B437EF6087A}"/>
</file>

<file path=customXml/itemProps3.xml><?xml version="1.0" encoding="utf-8"?>
<ds:datastoreItem xmlns:ds="http://schemas.openxmlformats.org/officeDocument/2006/customXml" ds:itemID="{89A29B6D-FCB7-4815-B67A-401D27C5CBC2}"/>
</file>

<file path=docProps/app.xml><?xml version="1.0" encoding="utf-8"?>
<Properties xmlns="http://schemas.openxmlformats.org/officeDocument/2006/extended-properties" xmlns:vt="http://schemas.openxmlformats.org/officeDocument/2006/docPropsVTypes">
  <Template>Normal</Template>
  <TotalTime>34</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Llewellyn, Christine L.</dc:creator>
  <cp:keywords/>
  <dc:description/>
  <cp:lastModifiedBy>Llewellyn, Christine L.</cp:lastModifiedBy>
  <cp:revision>2</cp:revision>
  <dcterms:created xsi:type="dcterms:W3CDTF">2023-07-28T16:29:00Z</dcterms:created>
  <dcterms:modified xsi:type="dcterms:W3CDTF">2023-07-28T17:03:00Z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0x010100382E48B523623A4F9A42DCB1D060D5F2</vt:lpwstr>
  </property>
</Properties>
</file>