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319E8" w14:textId="6864F48D" w:rsidR="005F3E43" w:rsidRPr="005F3E43" w:rsidRDefault="00BF7EA9" w:rsidP="003A2187">
      <w:pPr>
        <w:spacing w:after="0"/>
        <w:rPr>
          <w:rFonts w:ascii="Corbel" w:hAnsi="Corbel" w:cs="BrowalliaUPC"/>
          <w:sz w:val="40"/>
          <w:szCs w:val="40"/>
        </w:rPr>
      </w:pPr>
      <w:r>
        <w:rPr>
          <w:rFonts w:ascii="Corbel" w:hAnsi="Corbel" w:cs="BrowalliaUPC"/>
          <w:sz w:val="40"/>
          <w:szCs w:val="40"/>
        </w:rPr>
        <w:t>HONORARIUM GUIDANCE</w:t>
      </w:r>
    </w:p>
    <w:p w14:paraId="600F2F86" w14:textId="23B970BC" w:rsidR="005F3E43" w:rsidRDefault="005F3E43">
      <w:r>
        <w:rPr>
          <w:noProof/>
        </w:rPr>
        <mc:AlternateContent>
          <mc:Choice Requires="wps">
            <w:drawing>
              <wp:anchor distT="0" distB="0" distL="114300" distR="114300" simplePos="0" relativeHeight="251659264" behindDoc="0" locked="0" layoutInCell="1" allowOverlap="1" wp14:anchorId="612B2A06" wp14:editId="4FB2414B">
                <wp:simplePos x="0" y="0"/>
                <wp:positionH relativeFrom="column">
                  <wp:posOffset>-209550</wp:posOffset>
                </wp:positionH>
                <wp:positionV relativeFrom="paragraph">
                  <wp:posOffset>96520</wp:posOffset>
                </wp:positionV>
                <wp:extent cx="6134100" cy="19050"/>
                <wp:effectExtent l="0" t="0" r="19050" b="19050"/>
                <wp:wrapNone/>
                <wp:docPr id="1559436574" name="Straight Connector 1"/>
                <wp:cNvGraphicFramePr/>
                <a:graphic xmlns:a="http://schemas.openxmlformats.org/drawingml/2006/main">
                  <a:graphicData uri="http://schemas.microsoft.com/office/word/2010/wordprocessingShape">
                    <wps:wsp>
                      <wps:cNvCnPr/>
                      <wps:spPr>
                        <a:xfrm>
                          <a:off x="0" y="0"/>
                          <a:ext cx="61341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21423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7.6pt" to="46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J7GoAEAAJgDAAAOAAAAZHJzL2Uyb0RvYy54bWysU9tO3DAQfa/EP1h+Z5NAQSXaLA8g+oIo&#10;auEDjDPeWPJNtrvJ/n3Hs7vZqkVCIF4cX+acmXNmsryerGEbiEl71/FmUXMGTvpeu3XHn5/uTr9x&#10;lrJwvTDeQce3kPj16uTLcgwtnPnBmx4iQxKX2jF0fMg5tFWV5ABWpIUP4PBR+WhFxmNcV30UI7Jb&#10;U53V9WU1+tiH6CWkhLe3u0e+In6lQOYfSiXIzHQca8u0RlpfylqtlqJdRxEGLfdliA9UYYV2mHSm&#10;uhVZsN9R/0dltYw+eZUX0tvKK6UlkAZU09T/qPk1iACkBc1JYbYpfR6tfNjcuMeINowhtSk8xqJi&#10;UtGWL9bHJjJrO5sFU2YSLy+b869NjZ5KfGuu6gsyszqCQ0z5O3jLyqbjRruiRbRic58yJsTQQwge&#10;julpl7cGSrBxP0Ex3WPChtA0GXBjItsI7KmQElxuSh+Rj6ILTGljZmD9NnAfX6BAU/Me8IygzN7l&#10;GWy18/G17Hk6lKx28QcHdrqLBS++31JjyBpsPyncj2qZr7/PBD/+UKs/AAAA//8DAFBLAwQUAAYA&#10;CAAAACEAceQTqt8AAAAJAQAADwAAAGRycy9kb3ducmV2LnhtbEyPQUvDQBCF74L/YRnBW7sxRWlj&#10;NqUUxFqQYi3U4zY7JtHsbNjdNum/d+pFj/Pe48338vlgW3FCHxpHCu7GCQik0pmGKgW796fRFESI&#10;moxuHaGCMwaYF9dXuc6M6+kNT9tYCS6hkGkFdYxdJmUoa7Q6jF2HxN6n81ZHPn0ljdc9l9tWpkny&#10;IK1uiD/UusNljeX39mgVvPrVarlYn79o82H7fbreb16GZ6Vub4bFI4iIQ/wLwwWf0aFgpoM7kgmi&#10;VTCaTHhLZOM+BcGB2a9wYGGagixy+X9B8QMAAP//AwBQSwECLQAUAAYACAAAACEAtoM4kv4AAADh&#10;AQAAEwAAAAAAAAAAAAAAAAAAAAAAW0NvbnRlbnRfVHlwZXNdLnhtbFBLAQItABQABgAIAAAAIQA4&#10;/SH/1gAAAJQBAAALAAAAAAAAAAAAAAAAAC8BAABfcmVscy8ucmVsc1BLAQItABQABgAIAAAAIQA5&#10;1J7GoAEAAJgDAAAOAAAAAAAAAAAAAAAAAC4CAABkcnMvZTJvRG9jLnhtbFBLAQItABQABgAIAAAA&#10;IQBx5BOq3wAAAAkBAAAPAAAAAAAAAAAAAAAAAPoDAABkcnMvZG93bnJldi54bWxQSwUGAAAAAAQA&#10;BADzAAAABgUAAAAA&#10;" strokecolor="#4472c4 [3204]" strokeweight=".5pt">
                <v:stroke joinstyle="miter"/>
              </v:line>
            </w:pict>
          </mc:Fallback>
        </mc:AlternateContent>
      </w:r>
    </w:p>
    <w:p w14:paraId="4370F019" w14:textId="414FF361" w:rsidR="00BC1E2B" w:rsidRDefault="00BC1E2B">
      <w:pPr>
        <w:rPr>
          <w:b/>
          <w:bCs/>
          <w:color w:val="002060"/>
          <w:sz w:val="28"/>
          <w:szCs w:val="28"/>
        </w:rPr>
      </w:pPr>
      <w:r>
        <w:rPr>
          <w:b/>
          <w:bCs/>
          <w:color w:val="002060"/>
          <w:sz w:val="28"/>
          <w:szCs w:val="28"/>
        </w:rPr>
        <w:t xml:space="preserve">What is an Honorarium? </w:t>
      </w:r>
    </w:p>
    <w:p w14:paraId="44763317" w14:textId="77777777" w:rsidR="00BC1E2B" w:rsidRDefault="00BC1E2B" w:rsidP="00BC1E2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101820"/>
          <w:sz w:val="22"/>
          <w:szCs w:val="22"/>
        </w:rPr>
        <w:t xml:space="preserve">An honorarium is a one-time payment made to an individual (not a corporation, business or partnership), who is not an employee, student employee, or a student </w:t>
      </w:r>
      <w:proofErr w:type="gramStart"/>
      <w:r>
        <w:rPr>
          <w:rStyle w:val="normaltextrun"/>
          <w:rFonts w:ascii="Calibri" w:hAnsi="Calibri" w:cs="Calibri"/>
          <w:color w:val="101820"/>
          <w:sz w:val="22"/>
          <w:szCs w:val="22"/>
        </w:rPr>
        <w:t>of</w:t>
      </w:r>
      <w:proofErr w:type="gramEnd"/>
      <w:r>
        <w:rPr>
          <w:rStyle w:val="normaltextrun"/>
          <w:rFonts w:ascii="Calibri" w:hAnsi="Calibri" w:cs="Calibri"/>
          <w:color w:val="101820"/>
          <w:sz w:val="22"/>
          <w:szCs w:val="22"/>
        </w:rPr>
        <w:t xml:space="preserve"> the University, for a special and non-recurring activity or event with a short duration for which a fee is not legally or customarily required and which fixed business price has not been set. </w:t>
      </w:r>
      <w:r>
        <w:rPr>
          <w:rStyle w:val="eop"/>
          <w:rFonts w:ascii="Calibri" w:hAnsi="Calibri" w:cs="Calibri"/>
          <w:color w:val="101820"/>
          <w:sz w:val="22"/>
          <w:szCs w:val="22"/>
        </w:rPr>
        <w:t> </w:t>
      </w:r>
    </w:p>
    <w:p w14:paraId="0592D140" w14:textId="77777777" w:rsidR="00BC1E2B" w:rsidRDefault="00BC1E2B" w:rsidP="00BC1E2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101820"/>
          <w:sz w:val="22"/>
          <w:szCs w:val="22"/>
        </w:rPr>
        <w:t> </w:t>
      </w:r>
    </w:p>
    <w:p w14:paraId="6C723A32" w14:textId="77777777" w:rsidR="00BC1E2B" w:rsidRDefault="00BC1E2B" w:rsidP="00BC1E2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101820"/>
          <w:sz w:val="22"/>
          <w:szCs w:val="22"/>
        </w:rPr>
        <w:t>Honoraria are typically paid to persons of scholarly or professional standing expertise with the intent of showing good will and appreciation for voluntarily service to the university. </w:t>
      </w:r>
      <w:r>
        <w:rPr>
          <w:rStyle w:val="eop"/>
          <w:rFonts w:ascii="Calibri" w:hAnsi="Calibri" w:cs="Calibri"/>
          <w:color w:val="101820"/>
          <w:sz w:val="22"/>
          <w:szCs w:val="22"/>
        </w:rPr>
        <w:t> </w:t>
      </w:r>
    </w:p>
    <w:p w14:paraId="4BFCF366" w14:textId="77777777" w:rsidR="00BC1E2B" w:rsidRDefault="00BC1E2B">
      <w:pPr>
        <w:rPr>
          <w:b/>
          <w:bCs/>
          <w:color w:val="002060"/>
          <w:sz w:val="28"/>
          <w:szCs w:val="28"/>
        </w:rPr>
      </w:pPr>
    </w:p>
    <w:p w14:paraId="0D29900F" w14:textId="5EB7CB3E" w:rsidR="005F3E43" w:rsidRDefault="00BF7EA9">
      <w:pPr>
        <w:rPr>
          <w:b/>
          <w:bCs/>
          <w:color w:val="002060"/>
          <w:sz w:val="28"/>
          <w:szCs w:val="28"/>
        </w:rPr>
      </w:pPr>
      <w:r>
        <w:rPr>
          <w:b/>
          <w:bCs/>
          <w:color w:val="002060"/>
          <w:sz w:val="28"/>
          <w:szCs w:val="28"/>
        </w:rPr>
        <w:t>Determining if an Honorarium is Appropriate</w:t>
      </w:r>
    </w:p>
    <w:p w14:paraId="05D31DD6" w14:textId="0DC19113" w:rsidR="00BF7EA9" w:rsidRPr="00BF7EA9" w:rsidRDefault="00BF7EA9">
      <w:pPr>
        <w:rPr>
          <w:rFonts w:cstheme="minorHAnsi"/>
          <w:color w:val="000000" w:themeColor="text1"/>
        </w:rPr>
      </w:pPr>
      <w:r w:rsidRPr="00BF7EA9">
        <w:rPr>
          <w:rFonts w:cstheme="minorHAnsi"/>
          <w:color w:val="000000" w:themeColor="text1"/>
        </w:rPr>
        <w:t>Use the following questions as a guide to determine the appropriateness of an honorarium request.  If any question is answered “yes”, the payment does not qualify as a</w:t>
      </w:r>
      <w:r>
        <w:rPr>
          <w:rFonts w:cstheme="minorHAnsi"/>
          <w:color w:val="000000" w:themeColor="text1"/>
        </w:rPr>
        <w:t>n</w:t>
      </w:r>
      <w:r w:rsidRPr="00BF7EA9">
        <w:rPr>
          <w:rFonts w:cstheme="minorHAnsi"/>
          <w:color w:val="000000" w:themeColor="text1"/>
        </w:rPr>
        <w:t xml:space="preserve"> honorarium. </w:t>
      </w:r>
    </w:p>
    <w:p w14:paraId="30DF10AB" w14:textId="72A7FEC8" w:rsidR="005F3E43" w:rsidRDefault="00BF7EA9" w:rsidP="000E4068">
      <w:pPr>
        <w:rPr>
          <w:b/>
          <w:bCs/>
          <w:color w:val="0070C0"/>
          <w:sz w:val="24"/>
          <w:szCs w:val="24"/>
        </w:rPr>
      </w:pPr>
      <w:r>
        <w:rPr>
          <w:b/>
          <w:bCs/>
          <w:color w:val="0070C0"/>
          <w:sz w:val="24"/>
          <w:szCs w:val="24"/>
        </w:rPr>
        <w:t xml:space="preserve">Questions: </w:t>
      </w:r>
    </w:p>
    <w:p w14:paraId="651B1CE0" w14:textId="08F4215B" w:rsidR="00BF7EA9" w:rsidRPr="00255F64" w:rsidRDefault="00BF7EA9" w:rsidP="00BF7EA9">
      <w:pPr>
        <w:pStyle w:val="ListParagraph"/>
        <w:numPr>
          <w:ilvl w:val="0"/>
          <w:numId w:val="4"/>
        </w:numPr>
        <w:rPr>
          <w:color w:val="000000" w:themeColor="text1"/>
        </w:rPr>
      </w:pPr>
      <w:r w:rsidRPr="00255F64">
        <w:rPr>
          <w:color w:val="000000" w:themeColor="text1"/>
        </w:rPr>
        <w:t>Is the payment being made to a business, corporation, or partnership?</w:t>
      </w:r>
    </w:p>
    <w:p w14:paraId="177F3181" w14:textId="6F9E0140" w:rsidR="00BF7EA9" w:rsidRPr="00255F64" w:rsidRDefault="00BF7EA9" w:rsidP="00BF7EA9">
      <w:pPr>
        <w:pStyle w:val="ListParagraph"/>
        <w:numPr>
          <w:ilvl w:val="0"/>
          <w:numId w:val="4"/>
        </w:numPr>
        <w:rPr>
          <w:color w:val="000000" w:themeColor="text1"/>
        </w:rPr>
      </w:pPr>
      <w:r w:rsidRPr="00255F64">
        <w:rPr>
          <w:color w:val="000000" w:themeColor="text1"/>
        </w:rPr>
        <w:t xml:space="preserve">Was the amount and timing of the payment negotiated between the university and the individual? </w:t>
      </w:r>
    </w:p>
    <w:p w14:paraId="54CE005E" w14:textId="76096BF6" w:rsidR="00BF7EA9" w:rsidRPr="00255F64" w:rsidRDefault="00BF7EA9" w:rsidP="00BF7EA9">
      <w:pPr>
        <w:pStyle w:val="ListParagraph"/>
        <w:numPr>
          <w:ilvl w:val="0"/>
          <w:numId w:val="4"/>
        </w:numPr>
        <w:rPr>
          <w:color w:val="000000" w:themeColor="text1"/>
        </w:rPr>
      </w:pPr>
      <w:r w:rsidRPr="00255F64">
        <w:rPr>
          <w:color w:val="000000" w:themeColor="text1"/>
        </w:rPr>
        <w:t xml:space="preserve">Is there a contractual agreement? </w:t>
      </w:r>
    </w:p>
    <w:p w14:paraId="55D4686E" w14:textId="1401C3F0" w:rsidR="00BF7EA9" w:rsidRPr="00255F64" w:rsidRDefault="00BF7EA9" w:rsidP="00BF7EA9">
      <w:pPr>
        <w:pStyle w:val="ListParagraph"/>
        <w:numPr>
          <w:ilvl w:val="0"/>
          <w:numId w:val="4"/>
        </w:numPr>
        <w:rPr>
          <w:color w:val="000000" w:themeColor="text1"/>
        </w:rPr>
      </w:pPr>
      <w:r w:rsidRPr="00255F64">
        <w:rPr>
          <w:color w:val="000000" w:themeColor="text1"/>
        </w:rPr>
        <w:t xml:space="preserve">Are the individual’s services recurring? </w:t>
      </w:r>
    </w:p>
    <w:p w14:paraId="35E1B77D" w14:textId="06E1FC76" w:rsidR="00BF7EA9" w:rsidRPr="00255F64" w:rsidRDefault="00BF7EA9" w:rsidP="00BF7EA9">
      <w:pPr>
        <w:pStyle w:val="ListParagraph"/>
        <w:numPr>
          <w:ilvl w:val="0"/>
          <w:numId w:val="4"/>
        </w:numPr>
        <w:rPr>
          <w:color w:val="000000" w:themeColor="text1"/>
        </w:rPr>
      </w:pPr>
      <w:r w:rsidRPr="00255F64">
        <w:rPr>
          <w:color w:val="000000" w:themeColor="text1"/>
        </w:rPr>
        <w:t xml:space="preserve">Is the individual an employee or student employee? </w:t>
      </w:r>
    </w:p>
    <w:p w14:paraId="3CA89AEE" w14:textId="67EFA18F" w:rsidR="00BF7EA9" w:rsidRPr="00255F64" w:rsidRDefault="00BF7EA9" w:rsidP="00BF7EA9">
      <w:pPr>
        <w:pStyle w:val="ListParagraph"/>
        <w:numPr>
          <w:ilvl w:val="0"/>
          <w:numId w:val="4"/>
        </w:numPr>
        <w:rPr>
          <w:color w:val="000000" w:themeColor="text1"/>
        </w:rPr>
      </w:pPr>
      <w:r w:rsidRPr="00255F64">
        <w:rPr>
          <w:color w:val="000000" w:themeColor="text1"/>
        </w:rPr>
        <w:t xml:space="preserve">Did the individual set the price? </w:t>
      </w:r>
    </w:p>
    <w:p w14:paraId="74CC2AA7" w14:textId="14C44557" w:rsidR="00892224" w:rsidRPr="009B64FF" w:rsidRDefault="00BF7EA9" w:rsidP="005E6A85">
      <w:pPr>
        <w:spacing w:after="0"/>
        <w:rPr>
          <w:rFonts w:ascii="Arial Narrow" w:hAnsi="Arial Narrow" w:cs="Calibri"/>
          <w:i/>
          <w:iCs/>
          <w:color w:val="BF8F00" w:themeColor="accent4" w:themeShade="BF"/>
          <w:sz w:val="24"/>
          <w:szCs w:val="24"/>
        </w:rPr>
      </w:pPr>
      <w:r w:rsidRPr="009B64FF">
        <w:rPr>
          <w:b/>
          <w:bCs/>
          <w:color w:val="BF8F00" w:themeColor="accent4" w:themeShade="BF"/>
          <w:sz w:val="28"/>
          <w:szCs w:val="28"/>
        </w:rPr>
        <w:t>Appropriate</w:t>
      </w:r>
    </w:p>
    <w:p w14:paraId="4DD3661B" w14:textId="3B63ED07" w:rsidR="00BF7EA9" w:rsidRDefault="00E53E86" w:rsidP="00BF7EA9">
      <w:pPr>
        <w:rPr>
          <w:rFonts w:cstheme="minorHAnsi"/>
          <w:color w:val="000000" w:themeColor="text1"/>
        </w:rPr>
      </w:pPr>
      <w:r>
        <w:rPr>
          <w:rFonts w:cstheme="minorHAnsi"/>
          <w:color w:val="000000" w:themeColor="text1"/>
        </w:rPr>
        <w:t>The following</w:t>
      </w:r>
      <w:r w:rsidR="00BF7EA9">
        <w:rPr>
          <w:rFonts w:cstheme="minorHAnsi"/>
          <w:color w:val="000000" w:themeColor="text1"/>
        </w:rPr>
        <w:t xml:space="preserve"> are allowable </w:t>
      </w:r>
      <w:r w:rsidR="000E4068">
        <w:rPr>
          <w:rFonts w:cstheme="minorHAnsi"/>
          <w:color w:val="000000" w:themeColor="text1"/>
        </w:rPr>
        <w:t>honoraria</w:t>
      </w:r>
      <w:r w:rsidR="00BF7EA9">
        <w:rPr>
          <w:rFonts w:cstheme="minorHAnsi"/>
          <w:color w:val="000000" w:themeColor="text1"/>
        </w:rPr>
        <w:t xml:space="preserve"> payments</w:t>
      </w:r>
      <w:r w:rsidR="00BF7EA9" w:rsidRPr="00BF7EA9">
        <w:rPr>
          <w:rFonts w:cstheme="minorHAnsi"/>
          <w:color w:val="000000" w:themeColor="text1"/>
        </w:rPr>
        <w:t xml:space="preserve">. </w:t>
      </w:r>
      <w:r w:rsidR="000E4068">
        <w:rPr>
          <w:rFonts w:cstheme="minorHAnsi"/>
          <w:color w:val="000000" w:themeColor="text1"/>
        </w:rPr>
        <w:t xml:space="preserve">All have a short duration period of service: </w:t>
      </w:r>
    </w:p>
    <w:p w14:paraId="2AFA0E87" w14:textId="4ED9E622" w:rsidR="000E4068" w:rsidRDefault="000E4068" w:rsidP="000E4068">
      <w:pPr>
        <w:pStyle w:val="ListParagraph"/>
        <w:numPr>
          <w:ilvl w:val="0"/>
          <w:numId w:val="5"/>
        </w:numPr>
        <w:rPr>
          <w:rFonts w:cstheme="minorHAnsi"/>
          <w:color w:val="000000" w:themeColor="text1"/>
        </w:rPr>
      </w:pPr>
      <w:r>
        <w:rPr>
          <w:rFonts w:cstheme="minorHAnsi"/>
          <w:color w:val="000000" w:themeColor="text1"/>
        </w:rPr>
        <w:t>Payments to a guest speaker.  A guest speaker is someone who possess</w:t>
      </w:r>
      <w:r w:rsidR="00255F64">
        <w:rPr>
          <w:rFonts w:cstheme="minorHAnsi"/>
          <w:color w:val="000000" w:themeColor="text1"/>
        </w:rPr>
        <w:t>es</w:t>
      </w:r>
      <w:r>
        <w:rPr>
          <w:rFonts w:cstheme="minorHAnsi"/>
          <w:color w:val="000000" w:themeColor="text1"/>
        </w:rPr>
        <w:t xml:space="preserve"> advance</w:t>
      </w:r>
      <w:r w:rsidR="00255F64">
        <w:rPr>
          <w:rFonts w:cstheme="minorHAnsi"/>
          <w:color w:val="000000" w:themeColor="text1"/>
        </w:rPr>
        <w:t>d</w:t>
      </w:r>
      <w:r>
        <w:rPr>
          <w:rFonts w:cstheme="minorHAnsi"/>
          <w:color w:val="000000" w:themeColor="text1"/>
        </w:rPr>
        <w:t xml:space="preserve"> knowledge of a particular subject area and speaks about that subject area to a group or organization with which he or she is normally not involved. </w:t>
      </w:r>
    </w:p>
    <w:p w14:paraId="7E401442" w14:textId="42AC604E" w:rsidR="00255F64" w:rsidRDefault="00255F64" w:rsidP="000E4068">
      <w:pPr>
        <w:pStyle w:val="ListParagraph"/>
        <w:numPr>
          <w:ilvl w:val="0"/>
          <w:numId w:val="5"/>
        </w:numPr>
        <w:rPr>
          <w:rFonts w:cstheme="minorHAnsi"/>
          <w:color w:val="000000" w:themeColor="text1"/>
        </w:rPr>
      </w:pPr>
      <w:r>
        <w:rPr>
          <w:rFonts w:cstheme="minorHAnsi"/>
          <w:color w:val="000000" w:themeColor="text1"/>
        </w:rPr>
        <w:t>Participation as a judge in a writing or photo contest</w:t>
      </w:r>
    </w:p>
    <w:p w14:paraId="51EDC653" w14:textId="302D9CA9" w:rsidR="00255F64" w:rsidRDefault="00255F64" w:rsidP="000E4068">
      <w:pPr>
        <w:pStyle w:val="ListParagraph"/>
        <w:numPr>
          <w:ilvl w:val="0"/>
          <w:numId w:val="5"/>
        </w:numPr>
        <w:rPr>
          <w:rFonts w:cstheme="minorHAnsi"/>
          <w:color w:val="000000" w:themeColor="text1"/>
        </w:rPr>
      </w:pPr>
      <w:r>
        <w:rPr>
          <w:rFonts w:cstheme="minorHAnsi"/>
          <w:color w:val="000000" w:themeColor="text1"/>
        </w:rPr>
        <w:t>Participation in a panel discussion</w:t>
      </w:r>
    </w:p>
    <w:p w14:paraId="04D1B92A" w14:textId="188D630E" w:rsidR="00255F64" w:rsidRDefault="00255F64" w:rsidP="000E4068">
      <w:pPr>
        <w:pStyle w:val="ListParagraph"/>
        <w:numPr>
          <w:ilvl w:val="0"/>
          <w:numId w:val="5"/>
        </w:numPr>
        <w:rPr>
          <w:rFonts w:cstheme="minorHAnsi"/>
          <w:color w:val="000000" w:themeColor="text1"/>
        </w:rPr>
      </w:pPr>
      <w:r>
        <w:rPr>
          <w:rFonts w:cstheme="minorHAnsi"/>
          <w:color w:val="000000" w:themeColor="text1"/>
        </w:rPr>
        <w:t>A special lecture or short series of such lectures</w:t>
      </w:r>
    </w:p>
    <w:p w14:paraId="29BBA7C7" w14:textId="25C348F6" w:rsidR="00255F64" w:rsidRDefault="00255F64" w:rsidP="000E4068">
      <w:pPr>
        <w:pStyle w:val="ListParagraph"/>
        <w:numPr>
          <w:ilvl w:val="0"/>
          <w:numId w:val="5"/>
        </w:numPr>
        <w:rPr>
          <w:rFonts w:cstheme="minorHAnsi"/>
          <w:color w:val="000000" w:themeColor="text1"/>
        </w:rPr>
      </w:pPr>
      <w:r>
        <w:rPr>
          <w:rFonts w:cstheme="minorHAnsi"/>
          <w:color w:val="000000" w:themeColor="text1"/>
        </w:rPr>
        <w:t>Appraisal of a manuscript or an article to be submitted to a professional publication</w:t>
      </w:r>
    </w:p>
    <w:p w14:paraId="64ECC6E7" w14:textId="1D560065" w:rsidR="00255F64" w:rsidRDefault="00255F64" w:rsidP="000E4068">
      <w:pPr>
        <w:pStyle w:val="ListParagraph"/>
        <w:numPr>
          <w:ilvl w:val="0"/>
          <w:numId w:val="5"/>
        </w:numPr>
        <w:rPr>
          <w:rFonts w:cstheme="minorHAnsi"/>
          <w:color w:val="000000" w:themeColor="text1"/>
        </w:rPr>
      </w:pPr>
      <w:r>
        <w:rPr>
          <w:rFonts w:cstheme="minorHAnsi"/>
          <w:color w:val="000000" w:themeColor="text1"/>
        </w:rPr>
        <w:t>Reviewing research findings prior to the final report being published</w:t>
      </w:r>
    </w:p>
    <w:p w14:paraId="6FD4E766" w14:textId="77777777" w:rsidR="00255F64" w:rsidRPr="00255F64" w:rsidRDefault="00255F64" w:rsidP="00255F64">
      <w:pPr>
        <w:spacing w:after="0"/>
        <w:rPr>
          <w:rFonts w:ascii="Arial Narrow" w:hAnsi="Arial Narrow" w:cs="Calibri"/>
          <w:i/>
          <w:iCs/>
          <w:color w:val="000000" w:themeColor="text1"/>
          <w:sz w:val="24"/>
          <w:szCs w:val="24"/>
        </w:rPr>
      </w:pPr>
    </w:p>
    <w:p w14:paraId="342B1BA9" w14:textId="0526BF18" w:rsidR="00255F64" w:rsidRPr="009B64FF" w:rsidRDefault="00255F64" w:rsidP="00255F64">
      <w:pPr>
        <w:spacing w:after="0"/>
        <w:rPr>
          <w:rFonts w:ascii="Arial Narrow" w:hAnsi="Arial Narrow" w:cs="Calibri"/>
          <w:i/>
          <w:iCs/>
          <w:color w:val="BF8F00" w:themeColor="accent4" w:themeShade="BF"/>
          <w:sz w:val="24"/>
          <w:szCs w:val="24"/>
        </w:rPr>
      </w:pPr>
      <w:r w:rsidRPr="009B64FF">
        <w:rPr>
          <w:b/>
          <w:bCs/>
          <w:color w:val="BF8F00" w:themeColor="accent4" w:themeShade="BF"/>
          <w:sz w:val="28"/>
          <w:szCs w:val="28"/>
        </w:rPr>
        <w:t>Not Appropriate</w:t>
      </w:r>
    </w:p>
    <w:p w14:paraId="030A3F17" w14:textId="1DFC9ECF" w:rsidR="00255F64" w:rsidRDefault="00E53E86" w:rsidP="00255F64">
      <w:pPr>
        <w:rPr>
          <w:rFonts w:cstheme="minorHAnsi"/>
          <w:color w:val="000000" w:themeColor="text1"/>
        </w:rPr>
      </w:pPr>
      <w:r>
        <w:rPr>
          <w:rFonts w:cstheme="minorHAnsi"/>
          <w:color w:val="000000" w:themeColor="text1"/>
        </w:rPr>
        <w:t>The following are not</w:t>
      </w:r>
      <w:r w:rsidR="00255F64">
        <w:rPr>
          <w:rFonts w:cstheme="minorHAnsi"/>
          <w:color w:val="000000" w:themeColor="text1"/>
        </w:rPr>
        <w:t xml:space="preserve"> </w:t>
      </w:r>
      <w:r>
        <w:rPr>
          <w:rFonts w:cstheme="minorHAnsi"/>
          <w:color w:val="000000" w:themeColor="text1"/>
        </w:rPr>
        <w:t xml:space="preserve">allowable honoraria and </w:t>
      </w:r>
      <w:r w:rsidR="00255F64">
        <w:rPr>
          <w:rFonts w:cstheme="minorHAnsi"/>
          <w:color w:val="000000" w:themeColor="text1"/>
        </w:rPr>
        <w:t xml:space="preserve">should not be </w:t>
      </w:r>
      <w:r>
        <w:rPr>
          <w:rFonts w:cstheme="minorHAnsi"/>
          <w:color w:val="000000" w:themeColor="text1"/>
        </w:rPr>
        <w:t>requested as such</w:t>
      </w:r>
      <w:r w:rsidR="00255F64">
        <w:rPr>
          <w:rFonts w:cstheme="minorHAnsi"/>
          <w:color w:val="000000" w:themeColor="text1"/>
        </w:rPr>
        <w:t xml:space="preserve">: </w:t>
      </w:r>
    </w:p>
    <w:p w14:paraId="4C7BCDD0" w14:textId="324F83F6" w:rsidR="00255F64" w:rsidRDefault="00255F64" w:rsidP="00255F64">
      <w:pPr>
        <w:pStyle w:val="ListParagraph"/>
        <w:numPr>
          <w:ilvl w:val="0"/>
          <w:numId w:val="6"/>
        </w:numPr>
        <w:rPr>
          <w:rFonts w:cstheme="minorHAnsi"/>
          <w:color w:val="000000" w:themeColor="text1"/>
        </w:rPr>
      </w:pPr>
      <w:r>
        <w:rPr>
          <w:rFonts w:cstheme="minorHAnsi"/>
          <w:color w:val="000000" w:themeColor="text1"/>
        </w:rPr>
        <w:lastRenderedPageBreak/>
        <w:t>To pay for services requiring an executed contract and/or purchase order</w:t>
      </w:r>
    </w:p>
    <w:p w14:paraId="4F420F9D" w14:textId="213FAF67" w:rsidR="00255F64" w:rsidRDefault="00255F64" w:rsidP="00255F64">
      <w:pPr>
        <w:pStyle w:val="ListParagraph"/>
        <w:numPr>
          <w:ilvl w:val="0"/>
          <w:numId w:val="6"/>
        </w:numPr>
        <w:rPr>
          <w:rFonts w:cstheme="minorHAnsi"/>
          <w:color w:val="000000" w:themeColor="text1"/>
        </w:rPr>
      </w:pPr>
      <w:r>
        <w:rPr>
          <w:rFonts w:cstheme="minorHAnsi"/>
          <w:color w:val="000000" w:themeColor="text1"/>
        </w:rPr>
        <w:t xml:space="preserve">To replace or circumvent procedures for paying </w:t>
      </w:r>
      <w:r w:rsidR="007C61AE">
        <w:rPr>
          <w:rFonts w:cstheme="minorHAnsi"/>
          <w:color w:val="000000" w:themeColor="text1"/>
        </w:rPr>
        <w:t>consultant</w:t>
      </w:r>
    </w:p>
    <w:p w14:paraId="7A7CEFA4" w14:textId="2338CB8D" w:rsidR="00255F64" w:rsidRDefault="00255F64" w:rsidP="00255F64">
      <w:pPr>
        <w:pStyle w:val="ListParagraph"/>
        <w:numPr>
          <w:ilvl w:val="0"/>
          <w:numId w:val="6"/>
        </w:numPr>
        <w:rPr>
          <w:rFonts w:cstheme="minorHAnsi"/>
          <w:color w:val="000000" w:themeColor="text1"/>
        </w:rPr>
      </w:pPr>
      <w:r>
        <w:rPr>
          <w:rFonts w:cstheme="minorHAnsi"/>
          <w:color w:val="000000" w:themeColor="text1"/>
        </w:rPr>
        <w:t>To pay professional motivational speakers who perform such services as a career and charge a fee to participate in the event</w:t>
      </w:r>
    </w:p>
    <w:p w14:paraId="04A849A0" w14:textId="5E91D5BC" w:rsidR="00255F64" w:rsidRDefault="00255F64" w:rsidP="00255F64">
      <w:pPr>
        <w:pStyle w:val="ListParagraph"/>
        <w:numPr>
          <w:ilvl w:val="0"/>
          <w:numId w:val="6"/>
        </w:numPr>
        <w:rPr>
          <w:rFonts w:cstheme="minorHAnsi"/>
          <w:color w:val="000000" w:themeColor="text1"/>
        </w:rPr>
      </w:pPr>
      <w:r>
        <w:rPr>
          <w:rFonts w:cstheme="minorHAnsi"/>
          <w:color w:val="000000" w:themeColor="text1"/>
        </w:rPr>
        <w:t>To pay for a recurring activity or service</w:t>
      </w:r>
    </w:p>
    <w:p w14:paraId="657EDCCF" w14:textId="78D9965A" w:rsidR="00255F64" w:rsidRDefault="00255F64" w:rsidP="00255F64">
      <w:pPr>
        <w:pStyle w:val="ListParagraph"/>
        <w:numPr>
          <w:ilvl w:val="0"/>
          <w:numId w:val="6"/>
        </w:numPr>
        <w:rPr>
          <w:rFonts w:cstheme="minorHAnsi"/>
          <w:color w:val="000000" w:themeColor="text1"/>
        </w:rPr>
      </w:pPr>
      <w:r>
        <w:rPr>
          <w:rFonts w:cstheme="minorHAnsi"/>
          <w:color w:val="000000" w:themeColor="text1"/>
        </w:rPr>
        <w:t xml:space="preserve">To pay for the services of a facilitator in a small group workshop.  A </w:t>
      </w:r>
      <w:r w:rsidR="007C61AE">
        <w:rPr>
          <w:rFonts w:cstheme="minorHAnsi"/>
          <w:color w:val="000000" w:themeColor="text1"/>
        </w:rPr>
        <w:t>facilitator’s</w:t>
      </w:r>
      <w:r>
        <w:rPr>
          <w:rFonts w:cstheme="minorHAnsi"/>
          <w:color w:val="000000" w:themeColor="text1"/>
        </w:rPr>
        <w:t xml:space="preserve"> job is to get others to assume </w:t>
      </w:r>
      <w:r w:rsidR="007C61AE">
        <w:rPr>
          <w:rFonts w:cstheme="minorHAnsi"/>
          <w:color w:val="000000" w:themeColor="text1"/>
        </w:rPr>
        <w:t>responsibility</w:t>
      </w:r>
      <w:r>
        <w:rPr>
          <w:rFonts w:cstheme="minorHAnsi"/>
          <w:color w:val="000000" w:themeColor="text1"/>
        </w:rPr>
        <w:t xml:space="preserve"> and take the lead.  This person is a guide or a discussion </w:t>
      </w:r>
      <w:r w:rsidR="007C61AE">
        <w:rPr>
          <w:rFonts w:cstheme="minorHAnsi"/>
          <w:color w:val="000000" w:themeColor="text1"/>
        </w:rPr>
        <w:t>leader</w:t>
      </w:r>
      <w:r>
        <w:rPr>
          <w:rFonts w:cstheme="minorHAnsi"/>
          <w:color w:val="000000" w:themeColor="text1"/>
        </w:rPr>
        <w:t xml:space="preserve"> </w:t>
      </w:r>
      <w:r w:rsidR="007C61AE">
        <w:rPr>
          <w:rFonts w:cstheme="minorHAnsi"/>
          <w:color w:val="000000" w:themeColor="text1"/>
        </w:rPr>
        <w:t>w</w:t>
      </w:r>
      <w:r>
        <w:rPr>
          <w:rFonts w:cstheme="minorHAnsi"/>
          <w:color w:val="000000" w:themeColor="text1"/>
        </w:rPr>
        <w:t>ho contributes structure to the workshop</w:t>
      </w:r>
    </w:p>
    <w:p w14:paraId="52D97A94" w14:textId="07592331" w:rsidR="007C61AE" w:rsidRDefault="007C61AE" w:rsidP="00255F64">
      <w:pPr>
        <w:pStyle w:val="ListParagraph"/>
        <w:numPr>
          <w:ilvl w:val="0"/>
          <w:numId w:val="6"/>
        </w:numPr>
        <w:rPr>
          <w:rFonts w:cstheme="minorHAnsi"/>
          <w:color w:val="000000" w:themeColor="text1"/>
        </w:rPr>
      </w:pPr>
      <w:r>
        <w:rPr>
          <w:rFonts w:cstheme="minorHAnsi"/>
          <w:color w:val="000000" w:themeColor="text1"/>
        </w:rPr>
        <w:t xml:space="preserve">To pay for performances including comedic, dramatic, </w:t>
      </w:r>
      <w:r w:rsidR="00646E10">
        <w:rPr>
          <w:rFonts w:cstheme="minorHAnsi"/>
          <w:color w:val="000000" w:themeColor="text1"/>
        </w:rPr>
        <w:t>musical,</w:t>
      </w:r>
      <w:r>
        <w:rPr>
          <w:rFonts w:cstheme="minorHAnsi"/>
          <w:color w:val="000000" w:themeColor="text1"/>
        </w:rPr>
        <w:t xml:space="preserve"> or other similar artistic performances</w:t>
      </w:r>
    </w:p>
    <w:p w14:paraId="19C3E81E" w14:textId="134555C9" w:rsidR="007C61AE" w:rsidRDefault="007C61AE" w:rsidP="00255F64">
      <w:pPr>
        <w:pStyle w:val="ListParagraph"/>
        <w:numPr>
          <w:ilvl w:val="0"/>
          <w:numId w:val="6"/>
        </w:numPr>
        <w:rPr>
          <w:rFonts w:cstheme="minorHAnsi"/>
          <w:color w:val="000000" w:themeColor="text1"/>
        </w:rPr>
      </w:pPr>
      <w:r>
        <w:rPr>
          <w:rFonts w:cstheme="minorHAnsi"/>
          <w:color w:val="000000" w:themeColor="text1"/>
        </w:rPr>
        <w:t>To pay for personal services provided in the connection of a bona fide business, trade or profession such a reviewing or editing an article by a publisher</w:t>
      </w:r>
    </w:p>
    <w:p w14:paraId="11A8F9B3" w14:textId="7259FF46" w:rsidR="007C61AE" w:rsidRDefault="007C61AE" w:rsidP="00255F64">
      <w:pPr>
        <w:pStyle w:val="ListParagraph"/>
        <w:numPr>
          <w:ilvl w:val="0"/>
          <w:numId w:val="6"/>
        </w:numPr>
        <w:rPr>
          <w:rFonts w:cstheme="minorHAnsi"/>
          <w:color w:val="000000" w:themeColor="text1"/>
        </w:rPr>
      </w:pPr>
      <w:r>
        <w:rPr>
          <w:rFonts w:cstheme="minorHAnsi"/>
          <w:color w:val="000000" w:themeColor="text1"/>
        </w:rPr>
        <w:t>To pay a faculty, staff or student employee for their services</w:t>
      </w:r>
    </w:p>
    <w:p w14:paraId="675BF8E0" w14:textId="11D4771B" w:rsidR="007C61AE" w:rsidRDefault="007C61AE" w:rsidP="00255F64">
      <w:pPr>
        <w:pStyle w:val="ListParagraph"/>
        <w:numPr>
          <w:ilvl w:val="0"/>
          <w:numId w:val="6"/>
        </w:numPr>
        <w:rPr>
          <w:rFonts w:cstheme="minorHAnsi"/>
          <w:color w:val="000000" w:themeColor="text1"/>
        </w:rPr>
      </w:pPr>
      <w:r>
        <w:rPr>
          <w:rFonts w:cstheme="minorHAnsi"/>
          <w:color w:val="000000" w:themeColor="text1"/>
        </w:rPr>
        <w:t xml:space="preserve">To pay expense reimbursement, if applicable, which should be submitted separately on a payment require form </w:t>
      </w:r>
    </w:p>
    <w:p w14:paraId="14417105" w14:textId="24627516" w:rsidR="007C61AE" w:rsidRDefault="007C61AE" w:rsidP="00255F64">
      <w:pPr>
        <w:pStyle w:val="ListParagraph"/>
        <w:numPr>
          <w:ilvl w:val="0"/>
          <w:numId w:val="6"/>
        </w:numPr>
        <w:rPr>
          <w:rFonts w:cstheme="minorHAnsi"/>
          <w:color w:val="000000" w:themeColor="text1"/>
        </w:rPr>
      </w:pPr>
      <w:r>
        <w:rPr>
          <w:rFonts w:cstheme="minorHAnsi"/>
          <w:color w:val="000000" w:themeColor="text1"/>
        </w:rPr>
        <w:t>As an award to an individual where the primary intent is to confer distinction on, or to symbolize respect, esteem, or admiration for the recipient</w:t>
      </w:r>
    </w:p>
    <w:p w14:paraId="61CF8FB4" w14:textId="7E2E418D" w:rsidR="007C61AE" w:rsidRDefault="007C61AE" w:rsidP="00255F64">
      <w:pPr>
        <w:pStyle w:val="ListParagraph"/>
        <w:numPr>
          <w:ilvl w:val="0"/>
          <w:numId w:val="6"/>
        </w:numPr>
        <w:rPr>
          <w:rFonts w:cstheme="minorHAnsi"/>
          <w:color w:val="000000" w:themeColor="text1"/>
        </w:rPr>
      </w:pPr>
      <w:r>
        <w:rPr>
          <w:rFonts w:cstheme="minorHAnsi"/>
          <w:color w:val="000000" w:themeColor="text1"/>
        </w:rPr>
        <w:t>When the services require access to university proprietary information (Such services are considered consulting)</w:t>
      </w:r>
    </w:p>
    <w:p w14:paraId="7B26D17C" w14:textId="4B3F5A4D" w:rsidR="007C61AE" w:rsidRDefault="009B64FF" w:rsidP="00255F64">
      <w:pPr>
        <w:pStyle w:val="ListParagraph"/>
        <w:numPr>
          <w:ilvl w:val="0"/>
          <w:numId w:val="6"/>
        </w:numPr>
        <w:rPr>
          <w:rFonts w:cstheme="minorHAnsi"/>
          <w:color w:val="000000" w:themeColor="text1"/>
        </w:rPr>
      </w:pPr>
      <w:r>
        <w:rPr>
          <w:rFonts w:cstheme="minorHAnsi"/>
          <w:color w:val="000000" w:themeColor="text1"/>
        </w:rPr>
        <w:t>Solely as a reimbursement in lieu of undocumented expenses</w:t>
      </w:r>
    </w:p>
    <w:p w14:paraId="2E5559B0" w14:textId="0B0F7FC9" w:rsidR="009B64FF" w:rsidRDefault="009B64FF" w:rsidP="00255F64">
      <w:pPr>
        <w:pStyle w:val="ListParagraph"/>
        <w:numPr>
          <w:ilvl w:val="0"/>
          <w:numId w:val="6"/>
        </w:numPr>
        <w:rPr>
          <w:rFonts w:cstheme="minorHAnsi"/>
          <w:color w:val="000000" w:themeColor="text1"/>
        </w:rPr>
      </w:pPr>
      <w:r>
        <w:rPr>
          <w:rFonts w:cstheme="minorHAnsi"/>
          <w:color w:val="000000" w:themeColor="text1"/>
        </w:rPr>
        <w:t>To pay a foreign visitor (nonresident alien) not approved to work in the United States</w:t>
      </w:r>
    </w:p>
    <w:p w14:paraId="34F7EB16" w14:textId="77777777" w:rsidR="00646E10" w:rsidRDefault="00646E10" w:rsidP="00646E10">
      <w:pPr>
        <w:rPr>
          <w:b/>
          <w:bCs/>
          <w:color w:val="002060"/>
          <w:sz w:val="28"/>
          <w:szCs w:val="28"/>
        </w:rPr>
      </w:pPr>
    </w:p>
    <w:p w14:paraId="2F98C576" w14:textId="3220F230" w:rsidR="009B64FF" w:rsidRPr="00255F64" w:rsidRDefault="009B64FF" w:rsidP="00646E10">
      <w:pPr>
        <w:rPr>
          <w:rFonts w:ascii="Arial Narrow" w:hAnsi="Arial Narrow" w:cs="Calibri"/>
          <w:i/>
          <w:iCs/>
          <w:color w:val="000000" w:themeColor="text1"/>
          <w:sz w:val="24"/>
          <w:szCs w:val="24"/>
        </w:rPr>
      </w:pPr>
      <w:r>
        <w:rPr>
          <w:b/>
          <w:bCs/>
          <w:color w:val="002060"/>
          <w:sz w:val="28"/>
          <w:szCs w:val="28"/>
        </w:rPr>
        <w:t>How to Submit an Honorarium Request</w:t>
      </w:r>
    </w:p>
    <w:p w14:paraId="12DC1EA8" w14:textId="4E22E314" w:rsidR="009B64FF" w:rsidRDefault="009B64FF" w:rsidP="009B64FF">
      <w:pPr>
        <w:spacing w:after="0"/>
        <w:rPr>
          <w:b/>
          <w:bCs/>
          <w:color w:val="BF8F00" w:themeColor="accent4" w:themeShade="BF"/>
          <w:sz w:val="28"/>
          <w:szCs w:val="28"/>
        </w:rPr>
      </w:pPr>
      <w:r>
        <w:rPr>
          <w:b/>
          <w:bCs/>
          <w:color w:val="BF8F00" w:themeColor="accent4" w:themeShade="BF"/>
          <w:sz w:val="28"/>
          <w:szCs w:val="28"/>
        </w:rPr>
        <w:t>Domestic</w:t>
      </w:r>
    </w:p>
    <w:p w14:paraId="07BBB50D" w14:textId="7F97855C" w:rsidR="00646E10" w:rsidRDefault="009B64FF" w:rsidP="009B64FF">
      <w:pPr>
        <w:rPr>
          <w:rFonts w:cstheme="minorHAnsi"/>
          <w:color w:val="444444"/>
          <w:shd w:val="clear" w:color="auto" w:fill="FFFFFF"/>
        </w:rPr>
      </w:pPr>
      <w:r>
        <w:rPr>
          <w:rFonts w:cstheme="minorHAnsi"/>
          <w:color w:val="444444"/>
          <w:shd w:val="clear" w:color="auto" w:fill="FFFFFF"/>
        </w:rPr>
        <w:t xml:space="preserve">Domestic honorarium </w:t>
      </w:r>
      <w:r w:rsidR="00646E10">
        <w:rPr>
          <w:rFonts w:cstheme="minorHAnsi"/>
          <w:color w:val="444444"/>
          <w:shd w:val="clear" w:color="auto" w:fill="FFFFFF"/>
        </w:rPr>
        <w:t xml:space="preserve">requests need to be entered as a Payment Request in Compass and have the following documents attached as backup: </w:t>
      </w:r>
    </w:p>
    <w:p w14:paraId="3AB5A87E" w14:textId="77777777" w:rsidR="00646E10" w:rsidRPr="00646E10" w:rsidRDefault="00646E10" w:rsidP="00646E10">
      <w:pPr>
        <w:pStyle w:val="ListParagraph"/>
        <w:numPr>
          <w:ilvl w:val="0"/>
          <w:numId w:val="7"/>
        </w:numPr>
        <w:rPr>
          <w:rFonts w:cstheme="minorHAnsi"/>
          <w:b/>
          <w:bCs/>
          <w:color w:val="002060"/>
        </w:rPr>
      </w:pPr>
      <w:r>
        <w:rPr>
          <w:rFonts w:cstheme="minorHAnsi"/>
          <w:color w:val="444444"/>
          <w:shd w:val="clear" w:color="auto" w:fill="FFFFFF"/>
        </w:rPr>
        <w:t>Signed</w:t>
      </w:r>
      <w:r w:rsidR="009B64FF" w:rsidRPr="00646E10">
        <w:rPr>
          <w:rFonts w:cstheme="minorHAnsi"/>
          <w:color w:val="444444"/>
          <w:shd w:val="clear" w:color="auto" w:fill="FFFFFF"/>
        </w:rPr>
        <w:t xml:space="preserve"> Supplier Individual Information Form (SIIF)</w:t>
      </w:r>
    </w:p>
    <w:p w14:paraId="4129774F" w14:textId="3B59585B" w:rsidR="009B64FF" w:rsidRPr="00646E10" w:rsidRDefault="00646E10" w:rsidP="009B64FF">
      <w:pPr>
        <w:pStyle w:val="ListParagraph"/>
        <w:numPr>
          <w:ilvl w:val="0"/>
          <w:numId w:val="7"/>
        </w:numPr>
        <w:spacing w:after="0"/>
        <w:rPr>
          <w:rFonts w:ascii="Arial Narrow" w:hAnsi="Arial Narrow" w:cs="Calibri"/>
          <w:i/>
          <w:iCs/>
          <w:color w:val="BF8F00" w:themeColor="accent4" w:themeShade="BF"/>
          <w:sz w:val="24"/>
          <w:szCs w:val="24"/>
        </w:rPr>
      </w:pPr>
      <w:r w:rsidRPr="00646E10">
        <w:rPr>
          <w:rFonts w:cstheme="minorHAnsi"/>
          <w:color w:val="444444"/>
          <w:shd w:val="clear" w:color="auto" w:fill="FFFFFF"/>
        </w:rPr>
        <w:t xml:space="preserve">Supporting documentation (memo, email, letter) </w:t>
      </w:r>
      <w:r>
        <w:rPr>
          <w:rFonts w:cstheme="minorHAnsi"/>
          <w:color w:val="444444"/>
          <w:shd w:val="clear" w:color="auto" w:fill="FFFFFF"/>
        </w:rPr>
        <w:t>indicating the honorarium recipient, amount and approval</w:t>
      </w:r>
    </w:p>
    <w:p w14:paraId="5307804E" w14:textId="77777777" w:rsidR="00646E10" w:rsidRPr="00646E10" w:rsidRDefault="00646E10" w:rsidP="00646E10">
      <w:pPr>
        <w:spacing w:after="0"/>
        <w:ind w:left="45"/>
        <w:rPr>
          <w:rFonts w:ascii="Arial Narrow" w:hAnsi="Arial Narrow" w:cs="Calibri"/>
          <w:i/>
          <w:iCs/>
          <w:color w:val="BF8F00" w:themeColor="accent4" w:themeShade="BF"/>
          <w:sz w:val="24"/>
          <w:szCs w:val="24"/>
        </w:rPr>
      </w:pPr>
    </w:p>
    <w:p w14:paraId="6537AF8E" w14:textId="174B2ABA" w:rsidR="00646E10" w:rsidRDefault="00646E10" w:rsidP="00646E10">
      <w:pPr>
        <w:spacing w:after="0"/>
        <w:rPr>
          <w:b/>
          <w:bCs/>
          <w:color w:val="BF8F00" w:themeColor="accent4" w:themeShade="BF"/>
          <w:sz w:val="28"/>
          <w:szCs w:val="28"/>
        </w:rPr>
      </w:pPr>
      <w:r>
        <w:rPr>
          <w:b/>
          <w:bCs/>
          <w:color w:val="BF8F00" w:themeColor="accent4" w:themeShade="BF"/>
          <w:sz w:val="28"/>
          <w:szCs w:val="28"/>
        </w:rPr>
        <w:t>International</w:t>
      </w:r>
    </w:p>
    <w:p w14:paraId="4F60D40D" w14:textId="2602880E" w:rsidR="00646E10" w:rsidRDefault="00646E10" w:rsidP="00646E10">
      <w:pPr>
        <w:rPr>
          <w:rFonts w:cstheme="minorHAnsi"/>
          <w:color w:val="444444"/>
          <w:shd w:val="clear" w:color="auto" w:fill="FFFFFF"/>
        </w:rPr>
      </w:pPr>
      <w:r>
        <w:rPr>
          <w:rFonts w:cstheme="minorHAnsi"/>
          <w:color w:val="444444"/>
          <w:shd w:val="clear" w:color="auto" w:fill="FFFFFF"/>
        </w:rPr>
        <w:t xml:space="preserve">International honorarium requests need to be entered as a Payment Request in Compass and have the following documents attached as backup: </w:t>
      </w:r>
    </w:p>
    <w:p w14:paraId="50B3CE50" w14:textId="77777777" w:rsidR="00646E10" w:rsidRPr="00646E10" w:rsidRDefault="00646E10" w:rsidP="00646E10">
      <w:pPr>
        <w:pStyle w:val="ListParagraph"/>
        <w:numPr>
          <w:ilvl w:val="0"/>
          <w:numId w:val="7"/>
        </w:numPr>
        <w:rPr>
          <w:rFonts w:cstheme="minorHAnsi"/>
          <w:b/>
          <w:bCs/>
          <w:color w:val="002060"/>
        </w:rPr>
      </w:pPr>
      <w:r>
        <w:rPr>
          <w:rFonts w:cstheme="minorHAnsi"/>
          <w:color w:val="444444"/>
          <w:shd w:val="clear" w:color="auto" w:fill="FFFFFF"/>
        </w:rPr>
        <w:t>Signed</w:t>
      </w:r>
      <w:r w:rsidRPr="00646E10">
        <w:rPr>
          <w:rFonts w:cstheme="minorHAnsi"/>
          <w:color w:val="444444"/>
          <w:shd w:val="clear" w:color="auto" w:fill="FFFFFF"/>
        </w:rPr>
        <w:t xml:space="preserve"> Supplier Individual Information Form (SIIF)</w:t>
      </w:r>
    </w:p>
    <w:p w14:paraId="56224960" w14:textId="47A38DB6" w:rsidR="00646E10" w:rsidRPr="00646E10" w:rsidRDefault="00646E10" w:rsidP="00646E10">
      <w:pPr>
        <w:pStyle w:val="ListParagraph"/>
        <w:numPr>
          <w:ilvl w:val="0"/>
          <w:numId w:val="7"/>
        </w:numPr>
        <w:rPr>
          <w:rFonts w:cstheme="minorHAnsi"/>
          <w:b/>
          <w:bCs/>
          <w:color w:val="002060"/>
        </w:rPr>
      </w:pPr>
      <w:r>
        <w:rPr>
          <w:rFonts w:cstheme="minorHAnsi"/>
          <w:color w:val="444444"/>
          <w:shd w:val="clear" w:color="auto" w:fill="FFFFFF"/>
        </w:rPr>
        <w:t>Foreign Source Statement</w:t>
      </w:r>
    </w:p>
    <w:p w14:paraId="2062AF59" w14:textId="360775A5" w:rsidR="00646E10" w:rsidRPr="00646E10" w:rsidRDefault="00646E10" w:rsidP="00646E10">
      <w:pPr>
        <w:pStyle w:val="ListParagraph"/>
        <w:numPr>
          <w:ilvl w:val="0"/>
          <w:numId w:val="7"/>
        </w:numPr>
        <w:rPr>
          <w:rFonts w:cstheme="minorHAnsi"/>
          <w:b/>
          <w:bCs/>
          <w:color w:val="002060"/>
        </w:rPr>
      </w:pPr>
      <w:r>
        <w:rPr>
          <w:rFonts w:cstheme="minorHAnsi"/>
          <w:color w:val="444444"/>
          <w:shd w:val="clear" w:color="auto" w:fill="FFFFFF"/>
        </w:rPr>
        <w:t>W-8BEN</w:t>
      </w:r>
    </w:p>
    <w:p w14:paraId="1CFEB9DE" w14:textId="77777777" w:rsidR="00646E10" w:rsidRPr="00646E10" w:rsidRDefault="00646E10" w:rsidP="00646E10">
      <w:pPr>
        <w:pStyle w:val="ListParagraph"/>
        <w:numPr>
          <w:ilvl w:val="0"/>
          <w:numId w:val="7"/>
        </w:numPr>
        <w:spacing w:after="0"/>
        <w:rPr>
          <w:rFonts w:ascii="Arial Narrow" w:hAnsi="Arial Narrow" w:cs="Calibri"/>
          <w:i/>
          <w:iCs/>
          <w:color w:val="BF8F00" w:themeColor="accent4" w:themeShade="BF"/>
          <w:sz w:val="24"/>
          <w:szCs w:val="24"/>
        </w:rPr>
      </w:pPr>
      <w:r w:rsidRPr="00646E10">
        <w:rPr>
          <w:rFonts w:cstheme="minorHAnsi"/>
          <w:color w:val="444444"/>
          <w:shd w:val="clear" w:color="auto" w:fill="FFFFFF"/>
        </w:rPr>
        <w:t xml:space="preserve">Supporting documentation (memo, email, letter) </w:t>
      </w:r>
      <w:r>
        <w:rPr>
          <w:rFonts w:cstheme="minorHAnsi"/>
          <w:color w:val="444444"/>
          <w:shd w:val="clear" w:color="auto" w:fill="FFFFFF"/>
        </w:rPr>
        <w:t>indicating the honorarium recipient, amount and approval</w:t>
      </w:r>
    </w:p>
    <w:p w14:paraId="59285F7C" w14:textId="77777777" w:rsidR="009B64FF" w:rsidRPr="009B64FF" w:rsidRDefault="009B64FF" w:rsidP="00255F64">
      <w:pPr>
        <w:rPr>
          <w:rFonts w:cstheme="minorHAnsi"/>
          <w:color w:val="000000" w:themeColor="text1"/>
        </w:rPr>
      </w:pPr>
    </w:p>
    <w:p w14:paraId="36AD292B" w14:textId="40D89CA6" w:rsidR="009B64FF" w:rsidRDefault="009B64FF" w:rsidP="009B64FF">
      <w:pPr>
        <w:rPr>
          <w:b/>
          <w:bCs/>
          <w:color w:val="002060"/>
          <w:sz w:val="28"/>
          <w:szCs w:val="28"/>
        </w:rPr>
      </w:pPr>
      <w:r>
        <w:rPr>
          <w:b/>
          <w:bCs/>
          <w:color w:val="002060"/>
          <w:sz w:val="28"/>
          <w:szCs w:val="28"/>
        </w:rPr>
        <w:t xml:space="preserve">Honorariums are Taxable </w:t>
      </w:r>
    </w:p>
    <w:p w14:paraId="4E7A3E14" w14:textId="42C83ADF" w:rsidR="00255F64" w:rsidRPr="00255F64" w:rsidRDefault="009B64FF" w:rsidP="00255F64">
      <w:pPr>
        <w:rPr>
          <w:rFonts w:cstheme="minorHAnsi"/>
          <w:color w:val="000000" w:themeColor="text1"/>
        </w:rPr>
      </w:pPr>
      <w:r w:rsidRPr="009B64FF">
        <w:rPr>
          <w:rFonts w:cstheme="minorHAnsi"/>
          <w:color w:val="444444"/>
          <w:shd w:val="clear" w:color="auto" w:fill="FFFFFF"/>
        </w:rPr>
        <w:t>The University is obligated to report to the Internal Revenue Service (IRS) on Form 1099 all U.S. Citizens and Resident Aliens receiving cumulative remuneration greater than the annual threshold amount of $600.</w:t>
      </w:r>
    </w:p>
    <w:p w14:paraId="246C36E3" w14:textId="77777777" w:rsidR="000E4068" w:rsidRPr="00BF7EA9" w:rsidRDefault="000E4068" w:rsidP="00BF7EA9">
      <w:pPr>
        <w:rPr>
          <w:rFonts w:cstheme="minorHAnsi"/>
          <w:color w:val="000000" w:themeColor="text1"/>
        </w:rPr>
      </w:pPr>
    </w:p>
    <w:p w14:paraId="1255A19D" w14:textId="77777777" w:rsidR="00BF7EA9" w:rsidRPr="00892224" w:rsidRDefault="00BF7EA9" w:rsidP="005E6A85">
      <w:pPr>
        <w:spacing w:after="0"/>
        <w:rPr>
          <w:rFonts w:ascii="Arial Narrow" w:hAnsi="Arial Narrow" w:cs="Calibri"/>
          <w:i/>
          <w:iCs/>
          <w:color w:val="000000" w:themeColor="text1"/>
          <w:sz w:val="24"/>
          <w:szCs w:val="24"/>
        </w:rPr>
      </w:pPr>
    </w:p>
    <w:sectPr w:rsidR="00BF7EA9" w:rsidRPr="0089222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89560" w14:textId="77777777" w:rsidR="005F3E43" w:rsidRDefault="005F3E43" w:rsidP="005F3E43">
      <w:pPr>
        <w:spacing w:after="0" w:line="240" w:lineRule="auto"/>
      </w:pPr>
      <w:r>
        <w:separator/>
      </w:r>
    </w:p>
  </w:endnote>
  <w:endnote w:type="continuationSeparator" w:id="0">
    <w:p w14:paraId="3C9567CA" w14:textId="77777777" w:rsidR="005F3E43" w:rsidRDefault="005F3E43" w:rsidP="005F3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BB4E0" w14:textId="2DE5E044" w:rsidR="003A2187" w:rsidRDefault="007C61AE">
    <w:pPr>
      <w:pStyle w:val="Footer"/>
    </w:pPr>
    <w:r w:rsidRPr="007C61AE">
      <w:rPr>
        <w:caps/>
        <w:noProof/>
        <w:color w:val="808080" w:themeColor="background1" w:themeShade="80"/>
        <w:sz w:val="20"/>
        <w:szCs w:val="20"/>
      </w:rPr>
      <mc:AlternateContent>
        <mc:Choice Requires="wpg">
          <w:drawing>
            <wp:anchor distT="0" distB="0" distL="0" distR="0" simplePos="0" relativeHeight="251660288" behindDoc="0" locked="0" layoutInCell="1" allowOverlap="1" wp14:anchorId="66D95F27" wp14:editId="3C243BD3">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3-06-01T00:00:00Z">
                                <w:dateFormat w:val="MMMM d, yyyy"/>
                                <w:lid w:val="en-US"/>
                                <w:storeMappedDataAs w:val="dateTime"/>
                                <w:calendar w:val="gregorian"/>
                              </w:date>
                            </w:sdtPr>
                            <w:sdtEndPr/>
                            <w:sdtContent>
                              <w:p w14:paraId="3994A3F8" w14:textId="03FC4710" w:rsidR="007C61AE" w:rsidRDefault="00A50022">
                                <w:pPr>
                                  <w:jc w:val="right"/>
                                  <w:rPr>
                                    <w:color w:val="7F7F7F" w:themeColor="text1" w:themeTint="80"/>
                                  </w:rPr>
                                </w:pPr>
                                <w:r>
                                  <w:rPr>
                                    <w:color w:val="7F7F7F" w:themeColor="text1" w:themeTint="80"/>
                                  </w:rPr>
                                  <w:t>June 1, 2023</w:t>
                                </w:r>
                              </w:p>
                            </w:sdtContent>
                          </w:sdt>
                          <w:p w14:paraId="166342A7" w14:textId="77777777" w:rsidR="007C61AE" w:rsidRDefault="007C61AE">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66D95F27" id="Group 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3-06-01T00:00:00Z">
                          <w:dateFormat w:val="MMMM d, yyyy"/>
                          <w:lid w:val="en-US"/>
                          <w:storeMappedDataAs w:val="dateTime"/>
                          <w:calendar w:val="gregorian"/>
                        </w:date>
                      </w:sdtPr>
                      <w:sdtEndPr/>
                      <w:sdtContent>
                        <w:p w14:paraId="3994A3F8" w14:textId="03FC4710" w:rsidR="007C61AE" w:rsidRDefault="00A50022">
                          <w:pPr>
                            <w:jc w:val="right"/>
                            <w:rPr>
                              <w:color w:val="7F7F7F" w:themeColor="text1" w:themeTint="80"/>
                            </w:rPr>
                          </w:pPr>
                          <w:r>
                            <w:rPr>
                              <w:color w:val="7F7F7F" w:themeColor="text1" w:themeTint="80"/>
                            </w:rPr>
                            <w:t>June 1, 2023</w:t>
                          </w:r>
                        </w:p>
                      </w:sdtContent>
                    </w:sdt>
                    <w:p w14:paraId="166342A7" w14:textId="77777777" w:rsidR="007C61AE" w:rsidRDefault="007C61AE">
                      <w:pPr>
                        <w:jc w:val="right"/>
                        <w:rPr>
                          <w:color w:val="808080" w:themeColor="background1" w:themeShade="80"/>
                        </w:rPr>
                      </w:pPr>
                    </w:p>
                  </w:txbxContent>
                </v:textbox>
              </v:shape>
              <w10:wrap type="square" anchorx="margin" anchory="margin"/>
            </v:group>
          </w:pict>
        </mc:Fallback>
      </mc:AlternateContent>
    </w:r>
    <w:r w:rsidRPr="007C61AE">
      <w:rPr>
        <w:caps/>
        <w:noProof/>
        <w:color w:val="4472C4" w:themeColor="accent1"/>
        <w:sz w:val="20"/>
        <w:szCs w:val="20"/>
      </w:rPr>
      <mc:AlternateContent>
        <mc:Choice Requires="wps">
          <w:drawing>
            <wp:anchor distT="0" distB="0" distL="0" distR="0" simplePos="0" relativeHeight="251659264" behindDoc="0" locked="0" layoutInCell="1" allowOverlap="1" wp14:anchorId="5517F3A1" wp14:editId="12EA497F">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00C72C" w14:textId="77777777" w:rsidR="007C61AE" w:rsidRDefault="007C61A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7F3A1" id="Rectangle 8"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7900C72C" w14:textId="77777777" w:rsidR="007C61AE" w:rsidRDefault="007C61A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E17D6" w14:textId="77777777" w:rsidR="005F3E43" w:rsidRDefault="005F3E43" w:rsidP="005F3E43">
      <w:pPr>
        <w:spacing w:after="0" w:line="240" w:lineRule="auto"/>
      </w:pPr>
      <w:r>
        <w:separator/>
      </w:r>
    </w:p>
  </w:footnote>
  <w:footnote w:type="continuationSeparator" w:id="0">
    <w:p w14:paraId="564BF687" w14:textId="77777777" w:rsidR="005F3E43" w:rsidRDefault="005F3E43" w:rsidP="005F3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205D" w14:textId="4D38D299" w:rsidR="007C61AE" w:rsidRDefault="007C61AE">
    <w:pPr>
      <w:pStyle w:val="Header"/>
    </w:pPr>
    <w:r w:rsidRPr="005F3E43">
      <w:rPr>
        <w:noProof/>
      </w:rPr>
      <w:drawing>
        <wp:inline distT="0" distB="0" distL="0" distR="0" wp14:anchorId="063F10A2" wp14:editId="3C6DC156">
          <wp:extent cx="2038350" cy="521949"/>
          <wp:effectExtent l="0" t="0" r="0" b="0"/>
          <wp:docPr id="1010605163"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05163" name="Picture 1" descr="A close-up of a logo&#10;&#10;Description automatically generated with medium confidence"/>
                  <pic:cNvPicPr/>
                </pic:nvPicPr>
                <pic:blipFill>
                  <a:blip r:embed="rId1"/>
                  <a:stretch>
                    <a:fillRect/>
                  </a:stretch>
                </pic:blipFill>
                <pic:spPr>
                  <a:xfrm>
                    <a:off x="0" y="0"/>
                    <a:ext cx="2066446" cy="529143"/>
                  </a:xfrm>
                  <a:prstGeom prst="rect">
                    <a:avLst/>
                  </a:prstGeom>
                </pic:spPr>
              </pic:pic>
            </a:graphicData>
          </a:graphic>
        </wp:inline>
      </w:drawing>
    </w:r>
  </w:p>
  <w:p w14:paraId="1A1105F4" w14:textId="1703721A" w:rsidR="005F3E43" w:rsidRDefault="005F3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E2014"/>
    <w:multiLevelType w:val="hybridMultilevel"/>
    <w:tmpl w:val="B7EECC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20841C10"/>
    <w:multiLevelType w:val="hybridMultilevel"/>
    <w:tmpl w:val="0EE6D3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EA2737C"/>
    <w:multiLevelType w:val="hybridMultilevel"/>
    <w:tmpl w:val="3A10E1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1479CF"/>
    <w:multiLevelType w:val="hybridMultilevel"/>
    <w:tmpl w:val="C02497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E96566"/>
    <w:multiLevelType w:val="hybridMultilevel"/>
    <w:tmpl w:val="B09258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DAA36C8"/>
    <w:multiLevelType w:val="hybridMultilevel"/>
    <w:tmpl w:val="2D22E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0C6CEC"/>
    <w:multiLevelType w:val="hybridMultilevel"/>
    <w:tmpl w:val="BEEE6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289338">
    <w:abstractNumId w:val="1"/>
  </w:num>
  <w:num w:numId="2" w16cid:durableId="173494672">
    <w:abstractNumId w:val="2"/>
  </w:num>
  <w:num w:numId="3" w16cid:durableId="62722578">
    <w:abstractNumId w:val="4"/>
  </w:num>
  <w:num w:numId="4" w16cid:durableId="1926718308">
    <w:abstractNumId w:val="3"/>
  </w:num>
  <w:num w:numId="5" w16cid:durableId="1584606830">
    <w:abstractNumId w:val="5"/>
  </w:num>
  <w:num w:numId="6" w16cid:durableId="469322282">
    <w:abstractNumId w:val="6"/>
  </w:num>
  <w:num w:numId="7" w16cid:durableId="1523736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43"/>
    <w:rsid w:val="00071611"/>
    <w:rsid w:val="000C20C7"/>
    <w:rsid w:val="000E4068"/>
    <w:rsid w:val="00110CD6"/>
    <w:rsid w:val="00186776"/>
    <w:rsid w:val="00255F64"/>
    <w:rsid w:val="003A2187"/>
    <w:rsid w:val="005E6A85"/>
    <w:rsid w:val="005F3E43"/>
    <w:rsid w:val="00646E10"/>
    <w:rsid w:val="007C61AE"/>
    <w:rsid w:val="00892224"/>
    <w:rsid w:val="009B64FF"/>
    <w:rsid w:val="009D1305"/>
    <w:rsid w:val="00A50022"/>
    <w:rsid w:val="00BC1E2B"/>
    <w:rsid w:val="00BF7EA9"/>
    <w:rsid w:val="00E53E86"/>
    <w:rsid w:val="00EC3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572BF4"/>
  <w15:chartTrackingRefBased/>
  <w15:docId w15:val="{DB5E7BF2-E08D-4BEC-850F-986D0D9EA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E43"/>
  </w:style>
  <w:style w:type="paragraph" w:styleId="Footer">
    <w:name w:val="footer"/>
    <w:basedOn w:val="Normal"/>
    <w:link w:val="FooterChar"/>
    <w:uiPriority w:val="99"/>
    <w:unhideWhenUsed/>
    <w:rsid w:val="005F3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E43"/>
  </w:style>
  <w:style w:type="paragraph" w:styleId="ListParagraph">
    <w:name w:val="List Paragraph"/>
    <w:basedOn w:val="Normal"/>
    <w:uiPriority w:val="34"/>
    <w:qFormat/>
    <w:rsid w:val="00071611"/>
    <w:pPr>
      <w:ind w:left="720"/>
      <w:contextualSpacing/>
    </w:pPr>
  </w:style>
  <w:style w:type="character" w:styleId="Hyperlink">
    <w:name w:val="Hyperlink"/>
    <w:basedOn w:val="DefaultParagraphFont"/>
    <w:uiPriority w:val="99"/>
    <w:unhideWhenUsed/>
    <w:rsid w:val="00071611"/>
    <w:rPr>
      <w:color w:val="0563C1" w:themeColor="hyperlink"/>
      <w:u w:val="single"/>
    </w:rPr>
  </w:style>
  <w:style w:type="character" w:styleId="UnresolvedMention">
    <w:name w:val="Unresolved Mention"/>
    <w:basedOn w:val="DefaultParagraphFont"/>
    <w:uiPriority w:val="99"/>
    <w:semiHidden/>
    <w:unhideWhenUsed/>
    <w:rsid w:val="00071611"/>
    <w:rPr>
      <w:color w:val="605E5C"/>
      <w:shd w:val="clear" w:color="auto" w:fill="E1DFDD"/>
    </w:rPr>
  </w:style>
  <w:style w:type="character" w:styleId="FollowedHyperlink">
    <w:name w:val="FollowedHyperlink"/>
    <w:basedOn w:val="DefaultParagraphFont"/>
    <w:uiPriority w:val="99"/>
    <w:semiHidden/>
    <w:unhideWhenUsed/>
    <w:rsid w:val="00071611"/>
    <w:rPr>
      <w:color w:val="954F72" w:themeColor="followedHyperlink"/>
      <w:u w:val="single"/>
    </w:rPr>
  </w:style>
  <w:style w:type="paragraph" w:customStyle="1" w:styleId="paragraph">
    <w:name w:val="paragraph"/>
    <w:basedOn w:val="Normal"/>
    <w:rsid w:val="00BC1E2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BC1E2B"/>
  </w:style>
  <w:style w:type="character" w:customStyle="1" w:styleId="eop">
    <w:name w:val="eop"/>
    <w:basedOn w:val="DefaultParagraphFont"/>
    <w:rsid w:val="00BC1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324221">
      <w:bodyDiv w:val="1"/>
      <w:marLeft w:val="0"/>
      <w:marRight w:val="0"/>
      <w:marTop w:val="0"/>
      <w:marBottom w:val="0"/>
      <w:divBdr>
        <w:top w:val="none" w:sz="0" w:space="0" w:color="auto"/>
        <w:left w:val="none" w:sz="0" w:space="0" w:color="auto"/>
        <w:bottom w:val="none" w:sz="0" w:space="0" w:color="auto"/>
        <w:right w:val="none" w:sz="0" w:space="0" w:color="auto"/>
      </w:divBdr>
      <w:divsChild>
        <w:div w:id="1725249961">
          <w:marLeft w:val="0"/>
          <w:marRight w:val="0"/>
          <w:marTop w:val="0"/>
          <w:marBottom w:val="0"/>
          <w:divBdr>
            <w:top w:val="none" w:sz="0" w:space="0" w:color="auto"/>
            <w:left w:val="none" w:sz="0" w:space="0" w:color="auto"/>
            <w:bottom w:val="none" w:sz="0" w:space="0" w:color="auto"/>
            <w:right w:val="none" w:sz="0" w:space="0" w:color="auto"/>
          </w:divBdr>
        </w:div>
        <w:div w:id="716856377">
          <w:marLeft w:val="0"/>
          <w:marRight w:val="0"/>
          <w:marTop w:val="0"/>
          <w:marBottom w:val="0"/>
          <w:divBdr>
            <w:top w:val="none" w:sz="0" w:space="0" w:color="auto"/>
            <w:left w:val="none" w:sz="0" w:space="0" w:color="auto"/>
            <w:bottom w:val="none" w:sz="0" w:space="0" w:color="auto"/>
            <w:right w:val="none" w:sz="0" w:space="0" w:color="auto"/>
          </w:divBdr>
        </w:div>
        <w:div w:id="658776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2023-06-01T00:00:00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2E48B523623A4F9A42DCB1D060D5F2" ma:contentTypeVersion="15" ma:contentTypeDescription="Create a new document." ma:contentTypeScope="" ma:versionID="da2eed7dd88738c887d9901458738483">
  <xsd:schema xmlns:xsd="http://www.w3.org/2001/XMLSchema" xmlns:xs="http://www.w3.org/2001/XMLSchema" xmlns:p="http://schemas.microsoft.com/office/2006/metadata/properties" xmlns:ns2="a7ff315c-df75-479c-aca9-8cb80bf713a6" xmlns:ns3="86cd11c8-9222-49d0-9cd5-bebc879c8705" targetNamespace="http://schemas.microsoft.com/office/2006/metadata/properties" ma:root="true" ma:fieldsID="2002c51f0f473339bd033e4e1288b608" ns2:_="" ns3:_="">
    <xsd:import namespace="a7ff315c-df75-479c-aca9-8cb80bf713a6"/>
    <xsd:import namespace="86cd11c8-9222-49d0-9cd5-bebc879c87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f315c-df75-479c-aca9-8cb80bf71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d11c8-9222-49d0-9cd5-bebc879c870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378624-9cff-4ec4-93b4-609ddd94863d}" ma:internalName="TaxCatchAll" ma:showField="CatchAllData" ma:web="86cd11c8-9222-49d0-9cd5-bebc879c8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ff315c-df75-479c-aca9-8cb80bf713a6">
      <Terms xmlns="http://schemas.microsoft.com/office/infopath/2007/PartnerControls"/>
    </lcf76f155ced4ddcb4097134ff3c332f>
    <TaxCatchAll xmlns="86cd11c8-9222-49d0-9cd5-bebc879c870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A4BBF6-14AD-4563-BAC4-E47EA87F4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f315c-df75-479c-aca9-8cb80bf713a6"/>
    <ds:schemaRef ds:uri="86cd11c8-9222-49d0-9cd5-bebc879c8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B4EE4-F47C-49F0-966F-A20246F6C888}">
  <ds:schemaRefs>
    <ds:schemaRef ds:uri="http://purl.org/dc/elements/1.1/"/>
    <ds:schemaRef ds:uri="http://schemas.microsoft.com/office/2006/metadata/properties"/>
    <ds:schemaRef ds:uri="a7ff315c-df75-479c-aca9-8cb80bf713a6"/>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86cd11c8-9222-49d0-9cd5-bebc879c8705"/>
    <ds:schemaRef ds:uri="http://www.w3.org/XML/1998/namespace"/>
    <ds:schemaRef ds:uri="http://purl.org/dc/terms/"/>
  </ds:schemaRefs>
</ds:datastoreItem>
</file>

<file path=customXml/itemProps4.xml><?xml version="1.0" encoding="utf-8"?>
<ds:datastoreItem xmlns:ds="http://schemas.openxmlformats.org/officeDocument/2006/customXml" ds:itemID="{E5AF4ADE-EB04-4BDF-B922-39F4176BF2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honorarium guidane</dc:title>
  <dc:subject/>
  <dc:creator>Llewellyn, Christine L.</dc:creator>
  <cp:keywords/>
  <dc:description/>
  <cp:lastModifiedBy>Llewellyn, Christine L.</cp:lastModifiedBy>
  <cp:revision>2</cp:revision>
  <dcterms:created xsi:type="dcterms:W3CDTF">2023-06-26T18:27:00Z</dcterms:created>
  <dcterms:modified xsi:type="dcterms:W3CDTF">2023-06-26T18:27:00Z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0x010100382E48B523623A4F9A42DCB1D060D5F2</vt:lpwstr>
  </property>
</Properties>
</file>