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19E8" w14:textId="0E10AF1A" w:rsidR="005F3E43" w:rsidRPr="005F3E43" w:rsidRDefault="00385C7C" w:rsidP="003A2187">
      <w:pPr>
        <w:spacing w:after="0"/>
        <w:rPr>
          <w:rFonts w:ascii="Corbel" w:hAnsi="Corbel" w:cs="BrowalliaUPC"/>
          <w:sz w:val="40"/>
          <w:szCs w:val="40"/>
        </w:rPr>
      </w:pPr>
      <w:r>
        <w:rPr>
          <w:rFonts w:ascii="Corbel" w:hAnsi="Corbel" w:cs="BrowalliaUPC"/>
          <w:sz w:val="40"/>
          <w:szCs w:val="40"/>
        </w:rPr>
        <w:t>FELLOWSHIP</w:t>
      </w:r>
      <w:r w:rsidR="00BF7EA9">
        <w:rPr>
          <w:rFonts w:ascii="Corbel" w:hAnsi="Corbel" w:cs="BrowalliaUPC"/>
          <w:sz w:val="40"/>
          <w:szCs w:val="40"/>
        </w:rPr>
        <w:t xml:space="preserve"> GUIDANCE</w:t>
      </w:r>
    </w:p>
    <w:p w14:paraId="600F2F86" w14:textId="23B970BC" w:rsidR="005F3E43" w:rsidRDefault="005F3E43">
      <w:r>
        <w:rPr>
          <w:noProof/>
        </w:rPr>
        <mc:AlternateContent>
          <mc:Choice Requires="wps">
            <w:drawing>
              <wp:anchor distT="0" distB="0" distL="114300" distR="114300" simplePos="0" relativeHeight="251659264" behindDoc="0" locked="0" layoutInCell="1" allowOverlap="1" wp14:anchorId="612B2A06" wp14:editId="4FB2414B">
                <wp:simplePos x="0" y="0"/>
                <wp:positionH relativeFrom="column">
                  <wp:posOffset>-209550</wp:posOffset>
                </wp:positionH>
                <wp:positionV relativeFrom="paragraph">
                  <wp:posOffset>96520</wp:posOffset>
                </wp:positionV>
                <wp:extent cx="6134100" cy="19050"/>
                <wp:effectExtent l="0" t="0" r="19050" b="19050"/>
                <wp:wrapNone/>
                <wp:docPr id="1559436574" name="Straight Connector 1"/>
                <wp:cNvGraphicFramePr/>
                <a:graphic xmlns:a="http://schemas.openxmlformats.org/drawingml/2006/main">
                  <a:graphicData uri="http://schemas.microsoft.com/office/word/2010/wordprocessingShape">
                    <wps:wsp>
                      <wps:cNvCnPr/>
                      <wps:spPr>
                        <a:xfrm>
                          <a:off x="0" y="0"/>
                          <a:ext cx="6134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1423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6pt" to="46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" strokecolor="#4472c4 [3204]" strokeweight=".5pt">
                <v:stroke joinstyle="miter"/>
              </v:line>
            </w:pict>
          </mc:Fallback>
        </mc:AlternateContent>
      </w:r>
    </w:p>
    <w:p w14:paraId="4370F019" w14:textId="09820FDC" w:rsidR="00BC1E2B" w:rsidRDefault="00BC1E2B">
      <w:pPr>
        <w:rPr>
          <w:b/>
          <w:bCs/>
          <w:color w:val="002060"/>
          <w:sz w:val="28"/>
          <w:szCs w:val="28"/>
        </w:rPr>
      </w:pPr>
      <w:r>
        <w:rPr>
          <w:b/>
          <w:bCs/>
          <w:color w:val="002060"/>
          <w:sz w:val="28"/>
          <w:szCs w:val="28"/>
        </w:rPr>
        <w:t xml:space="preserve">What is </w:t>
      </w:r>
      <w:r w:rsidR="00652E47">
        <w:rPr>
          <w:b/>
          <w:bCs/>
          <w:color w:val="002060"/>
          <w:sz w:val="28"/>
          <w:szCs w:val="28"/>
        </w:rPr>
        <w:t xml:space="preserve">a </w:t>
      </w:r>
      <w:r w:rsidR="00385C7C">
        <w:rPr>
          <w:b/>
          <w:bCs/>
          <w:color w:val="002060"/>
          <w:sz w:val="28"/>
          <w:szCs w:val="28"/>
        </w:rPr>
        <w:t>Fellowship</w:t>
      </w:r>
      <w:r w:rsidR="00652E47">
        <w:rPr>
          <w:b/>
          <w:bCs/>
          <w:color w:val="002060"/>
          <w:sz w:val="28"/>
          <w:szCs w:val="28"/>
        </w:rPr>
        <w:t>?</w:t>
      </w:r>
      <w:r>
        <w:rPr>
          <w:b/>
          <w:bCs/>
          <w:color w:val="002060"/>
          <w:sz w:val="28"/>
          <w:szCs w:val="28"/>
        </w:rPr>
        <w:t xml:space="preserve"> </w:t>
      </w:r>
    </w:p>
    <w:p w14:paraId="6F13D3C8" w14:textId="7E820526" w:rsidR="00385C7C" w:rsidRPr="00385C7C" w:rsidRDefault="002C2255">
      <w:pPr>
        <w:rPr>
          <w:rFonts w:cstheme="minorHAnsi"/>
          <w:color w:val="101820"/>
          <w:shd w:val="clear" w:color="auto" w:fill="FFFFFF"/>
        </w:rPr>
      </w:pPr>
      <w:r>
        <w:rPr>
          <w:rFonts w:cstheme="minorHAnsi"/>
          <w:color w:val="101820"/>
          <w:shd w:val="clear" w:color="auto" w:fill="FFFFFF"/>
        </w:rPr>
        <w:t xml:space="preserve">A </w:t>
      </w:r>
      <w:r w:rsidR="00385C7C" w:rsidRPr="00385C7C">
        <w:rPr>
          <w:rFonts w:cstheme="minorHAnsi"/>
          <w:color w:val="101820"/>
          <w:shd w:val="clear" w:color="auto" w:fill="FFFFFF"/>
        </w:rPr>
        <w:t xml:space="preserve">Fellowships </w:t>
      </w:r>
      <w:r>
        <w:rPr>
          <w:rFonts w:cstheme="minorHAnsi"/>
          <w:color w:val="101820"/>
          <w:shd w:val="clear" w:color="auto" w:fill="FFFFFF"/>
        </w:rPr>
        <w:t>is</w:t>
      </w:r>
      <w:r w:rsidR="00385C7C" w:rsidRPr="00385C7C">
        <w:rPr>
          <w:rFonts w:cstheme="minorHAnsi"/>
          <w:color w:val="101820"/>
          <w:shd w:val="clear" w:color="auto" w:fill="FFFFFF"/>
        </w:rPr>
        <w:t xml:space="preserve"> amounts paid for the benefit of an individual to pursue study, training, or research, and generally require services to be performed (either currently or in the future) as a condition of the award.</w:t>
      </w:r>
    </w:p>
    <w:p w14:paraId="1F92DC73" w14:textId="77777777" w:rsidR="00385C7C" w:rsidRDefault="00385C7C">
      <w:pPr>
        <w:rPr>
          <w:rFonts w:ascii="Noto Sans" w:hAnsi="Noto Sans" w:cs="Noto Sans"/>
          <w:color w:val="101820"/>
          <w:shd w:val="clear" w:color="auto" w:fill="FFFFFF"/>
        </w:rPr>
      </w:pPr>
    </w:p>
    <w:p w14:paraId="0D29900F" w14:textId="36999EA6" w:rsidR="005F3E43" w:rsidRDefault="002C2255">
      <w:pPr>
        <w:rPr>
          <w:b/>
          <w:bCs/>
          <w:color w:val="002060"/>
          <w:sz w:val="28"/>
          <w:szCs w:val="28"/>
        </w:rPr>
      </w:pPr>
      <w:r>
        <w:rPr>
          <w:b/>
          <w:bCs/>
          <w:color w:val="002060"/>
          <w:sz w:val="28"/>
          <w:szCs w:val="28"/>
        </w:rPr>
        <w:t>Payments are considered compensation for services if</w:t>
      </w:r>
      <w:r w:rsidR="00652E47">
        <w:rPr>
          <w:b/>
          <w:bCs/>
          <w:color w:val="002060"/>
          <w:sz w:val="28"/>
          <w:szCs w:val="28"/>
        </w:rPr>
        <w:t xml:space="preserve">: </w:t>
      </w:r>
    </w:p>
    <w:p w14:paraId="54BB4764" w14:textId="77777777" w:rsidR="002C2255" w:rsidRPr="002C2255" w:rsidRDefault="002C2255" w:rsidP="002C2255">
      <w:pPr>
        <w:numPr>
          <w:ilvl w:val="0"/>
          <w:numId w:val="14"/>
        </w:numPr>
        <w:shd w:val="clear" w:color="auto" w:fill="FFFFFF"/>
        <w:spacing w:before="100" w:beforeAutospacing="1" w:after="100" w:afterAutospacing="1" w:line="240" w:lineRule="auto"/>
        <w:ind w:left="960"/>
        <w:rPr>
          <w:rFonts w:eastAsia="Times New Roman" w:cstheme="minorHAnsi"/>
          <w:color w:val="101820"/>
          <w:kern w:val="0"/>
          <w14:ligatures w14:val="none"/>
        </w:rPr>
      </w:pPr>
      <w:r w:rsidRPr="002C2255">
        <w:rPr>
          <w:rFonts w:eastAsia="Times New Roman" w:cstheme="minorHAnsi"/>
          <w:color w:val="101820"/>
          <w:kern w:val="0"/>
          <w14:ligatures w14:val="none"/>
        </w:rPr>
        <w:t>The amount represents compensation for past, present, or future employment services.</w:t>
      </w:r>
    </w:p>
    <w:p w14:paraId="2FAEA66A" w14:textId="77777777" w:rsidR="002C2255" w:rsidRPr="002C2255" w:rsidRDefault="002C2255" w:rsidP="002C2255">
      <w:pPr>
        <w:numPr>
          <w:ilvl w:val="0"/>
          <w:numId w:val="14"/>
        </w:numPr>
        <w:shd w:val="clear" w:color="auto" w:fill="FFFFFF"/>
        <w:spacing w:before="100" w:beforeAutospacing="1" w:after="100" w:afterAutospacing="1" w:line="240" w:lineRule="auto"/>
        <w:ind w:left="960"/>
        <w:rPr>
          <w:rFonts w:eastAsia="Times New Roman" w:cstheme="minorHAnsi"/>
          <w:color w:val="101820"/>
          <w:kern w:val="0"/>
          <w14:ligatures w14:val="none"/>
        </w:rPr>
      </w:pPr>
      <w:r w:rsidRPr="002C2255">
        <w:rPr>
          <w:rFonts w:eastAsia="Times New Roman" w:cstheme="minorHAnsi"/>
          <w:color w:val="101820"/>
          <w:kern w:val="0"/>
          <w14:ligatures w14:val="none"/>
        </w:rPr>
        <w:t>The activity being funded is subject to the direction or supervision of the University.</w:t>
      </w:r>
    </w:p>
    <w:p w14:paraId="5A32F73D" w14:textId="77777777" w:rsidR="002C2255" w:rsidRPr="002C2255" w:rsidRDefault="002C2255" w:rsidP="002C2255">
      <w:pPr>
        <w:numPr>
          <w:ilvl w:val="0"/>
          <w:numId w:val="14"/>
        </w:numPr>
        <w:shd w:val="clear" w:color="auto" w:fill="FFFFFF"/>
        <w:spacing w:before="100" w:beforeAutospacing="1" w:after="100" w:afterAutospacing="1" w:line="240" w:lineRule="auto"/>
        <w:ind w:left="960"/>
        <w:rPr>
          <w:rFonts w:eastAsia="Times New Roman" w:cstheme="minorHAnsi"/>
          <w:color w:val="101820"/>
          <w:kern w:val="0"/>
          <w14:ligatures w14:val="none"/>
        </w:rPr>
      </w:pPr>
      <w:r w:rsidRPr="002C2255">
        <w:rPr>
          <w:rFonts w:eastAsia="Times New Roman" w:cstheme="minorHAnsi"/>
          <w:color w:val="101820"/>
          <w:kern w:val="0"/>
          <w14:ligatures w14:val="none"/>
        </w:rPr>
        <w:t>The payment enables the recipient to pursue studies or research </w:t>
      </w:r>
      <w:r w:rsidRPr="002C2255">
        <w:rPr>
          <w:rFonts w:eastAsia="Times New Roman" w:cstheme="minorHAnsi"/>
          <w:i/>
          <w:iCs/>
          <w:color w:val="101820"/>
          <w:kern w:val="0"/>
          <w14:ligatures w14:val="none"/>
        </w:rPr>
        <w:t>primarily for the benefit of the University.</w:t>
      </w:r>
    </w:p>
    <w:p w14:paraId="3D7614ED" w14:textId="08068720" w:rsidR="00652E47" w:rsidRPr="002C2255" w:rsidRDefault="002C2255" w:rsidP="00646E10">
      <w:pPr>
        <w:rPr>
          <w:rFonts w:cstheme="minorHAnsi"/>
          <w:b/>
          <w:bCs/>
          <w:color w:val="002060"/>
          <w:sz w:val="28"/>
          <w:szCs w:val="28"/>
        </w:rPr>
      </w:pPr>
      <w:r w:rsidRPr="002C2255">
        <w:rPr>
          <w:rFonts w:cstheme="minorHAnsi"/>
          <w:color w:val="101820"/>
          <w:shd w:val="clear" w:color="auto" w:fill="FFFFFF"/>
        </w:rPr>
        <w:t>These recipients are deemed to be Emory employees and all procedures for employment must be followed. The payments are made via payroll, and are subject to OASDI and Medicare withholding, as well as Federal and Georgia income tax. Additional rules apply to nonresident aliens.  See Nonresident Alien Tax Assistance for further information.</w:t>
      </w:r>
    </w:p>
    <w:p w14:paraId="014A058C" w14:textId="77777777" w:rsidR="00652E47" w:rsidRDefault="00652E47" w:rsidP="00646E10">
      <w:pPr>
        <w:rPr>
          <w:b/>
          <w:bCs/>
          <w:color w:val="002060"/>
          <w:sz w:val="28"/>
          <w:szCs w:val="28"/>
        </w:rPr>
      </w:pPr>
    </w:p>
    <w:p w14:paraId="7AABCCFF" w14:textId="77777777" w:rsidR="002C2255" w:rsidRDefault="002C2255" w:rsidP="002C2255">
      <w:pPr>
        <w:spacing w:after="0"/>
        <w:rPr>
          <w:b/>
          <w:bCs/>
          <w:color w:val="BF8F00" w:themeColor="accent4" w:themeShade="BF"/>
          <w:sz w:val="28"/>
          <w:szCs w:val="28"/>
        </w:rPr>
      </w:pPr>
      <w:r>
        <w:rPr>
          <w:b/>
          <w:bCs/>
          <w:color w:val="BF8F00" w:themeColor="accent4" w:themeShade="BF"/>
          <w:sz w:val="28"/>
          <w:szCs w:val="28"/>
        </w:rPr>
        <w:t>CONTACT FINANCE/TAX for additional guidance on Tax Reporting.</w:t>
      </w:r>
    </w:p>
    <w:p w14:paraId="5BBF037B" w14:textId="77777777" w:rsidR="00652E47" w:rsidRDefault="00652E47" w:rsidP="00646E10">
      <w:pPr>
        <w:rPr>
          <w:b/>
          <w:bCs/>
          <w:color w:val="002060"/>
          <w:sz w:val="28"/>
          <w:szCs w:val="28"/>
        </w:rPr>
      </w:pPr>
    </w:p>
    <w:sectPr w:rsidR="00652E4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9560" w14:textId="77777777" w:rsidR="005F3E43" w:rsidRDefault="005F3E43" w:rsidP="005F3E43">
      <w:pPr>
        <w:spacing w:after="0" w:line="240" w:lineRule="auto"/>
      </w:pPr>
      <w:r>
        <w:separator/>
      </w:r>
    </w:p>
  </w:endnote>
  <w:endnote w:type="continuationSeparator" w:id="0">
    <w:p w14:paraId="3C9567CA" w14:textId="77777777" w:rsidR="005F3E43" w:rsidRDefault="005F3E43" w:rsidP="005F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B4E0" w14:textId="2DE5E044" w:rsidR="003A2187" w:rsidRDefault="007C61AE">
    <w:pPr>
      <w:pStyle w:val="Footer"/>
    </w:pPr>
    <w:r w:rsidRPr="007C61AE">
      <w:rPr>
        <w:caps/>
        <w:noProof/>
        <w:color w:val="808080" w:themeColor="background1" w:themeShade="80"/>
        <w:sz w:val="20"/>
        <w:szCs w:val="20"/>
      </w:rPr>
      <mc:AlternateContent>
        <mc:Choice Requires="wpg">
          <w:drawing>
            <wp:anchor distT="0" distB="0" distL="0" distR="0" simplePos="0" relativeHeight="251660288" behindDoc="0" locked="0" layoutInCell="1" allowOverlap="1" wp14:anchorId="66D95F27" wp14:editId="3C243BD3">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EndPr/>
                            <w:sdtContent>
                              <w:p w14:paraId="3994A3F8" w14:textId="03FC4710" w:rsidR="007C61AE" w:rsidRDefault="00A50022">
                                <w:pPr>
                                  <w:jc w:val="right"/>
                                  <w:rPr>
                                    <w:color w:val="7F7F7F" w:themeColor="text1" w:themeTint="80"/>
                                  </w:rPr>
                                </w:pPr>
                                <w:r>
                                  <w:rPr>
                                    <w:color w:val="7F7F7F" w:themeColor="text1" w:themeTint="80"/>
                                  </w:rPr>
                                  <w:t>June 1, 2023</w:t>
                                </w:r>
                              </w:p>
                            </w:sdtContent>
                          </w:sdt>
                          <w:p w14:paraId="166342A7" w14:textId="77777777" w:rsidR="007C61AE" w:rsidRDefault="007C61A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6D95F27"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EndPr/>
                      <w:sdtContent>
                        <w:p w14:paraId="3994A3F8" w14:textId="03FC4710" w:rsidR="007C61AE" w:rsidRDefault="00A50022">
                          <w:pPr>
                            <w:jc w:val="right"/>
                            <w:rPr>
                              <w:color w:val="7F7F7F" w:themeColor="text1" w:themeTint="80"/>
                            </w:rPr>
                          </w:pPr>
                          <w:r>
                            <w:rPr>
                              <w:color w:val="7F7F7F" w:themeColor="text1" w:themeTint="80"/>
                            </w:rPr>
                            <w:t>June 1, 2023</w:t>
                          </w:r>
                        </w:p>
                      </w:sdtContent>
                    </w:sdt>
                    <w:p w14:paraId="166342A7" w14:textId="77777777" w:rsidR="007C61AE" w:rsidRDefault="007C61AE">
                      <w:pPr>
                        <w:jc w:val="right"/>
                        <w:rPr>
                          <w:color w:val="808080" w:themeColor="background1" w:themeShade="80"/>
                        </w:rPr>
                      </w:pPr>
                    </w:p>
                  </w:txbxContent>
                </v:textbox>
              </v:shape>
              <w10:wrap type="square" anchorx="margin" anchory="margin"/>
            </v:group>
          </w:pict>
        </mc:Fallback>
      </mc:AlternateContent>
    </w:r>
    <w:r w:rsidRPr="007C61AE">
      <w:rPr>
        <w:caps/>
        <w:noProof/>
        <w:color w:val="4472C4" w:themeColor="accent1"/>
        <w:sz w:val="20"/>
        <w:szCs w:val="20"/>
      </w:rPr>
      <mc:AlternateContent>
        <mc:Choice Requires="wps">
          <w:drawing>
            <wp:anchor distT="0" distB="0" distL="0" distR="0" simplePos="0" relativeHeight="251659264" behindDoc="0" locked="0" layoutInCell="1" allowOverlap="1" wp14:anchorId="5517F3A1" wp14:editId="12EA497F">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00C72C" w14:textId="77777777" w:rsidR="007C61AE" w:rsidRDefault="007C61A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7F3A1"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900C72C" w14:textId="77777777" w:rsidR="007C61AE" w:rsidRDefault="007C61A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17D6" w14:textId="77777777" w:rsidR="005F3E43" w:rsidRDefault="005F3E43" w:rsidP="005F3E43">
      <w:pPr>
        <w:spacing w:after="0" w:line="240" w:lineRule="auto"/>
      </w:pPr>
      <w:r>
        <w:separator/>
      </w:r>
    </w:p>
  </w:footnote>
  <w:footnote w:type="continuationSeparator" w:id="0">
    <w:p w14:paraId="564BF687" w14:textId="77777777" w:rsidR="005F3E43" w:rsidRDefault="005F3E43" w:rsidP="005F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205D" w14:textId="4D38D299" w:rsidR="007C61AE" w:rsidRDefault="007C61AE">
    <w:pPr>
      <w:pStyle w:val="Header"/>
    </w:pPr>
    <w:r w:rsidRPr="005F3E43">
      <w:rPr>
        <w:noProof/>
      </w:rPr>
      <w:drawing>
        <wp:inline distT="0" distB="0" distL="0" distR="0" wp14:anchorId="063F10A2" wp14:editId="3C6DC156">
          <wp:extent cx="2038350" cy="521949"/>
          <wp:effectExtent l="0" t="0" r="0" b="0"/>
          <wp:docPr id="1010605163"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5163" name="Picture 1" descr="A close-up of a logo&#10;&#10;Description automatically generated with medium confidence"/>
                  <pic:cNvPicPr/>
                </pic:nvPicPr>
                <pic:blipFill>
                  <a:blip r:embed="rId1"/>
                  <a:stretch>
                    <a:fillRect/>
                  </a:stretch>
                </pic:blipFill>
                <pic:spPr>
                  <a:xfrm>
                    <a:off x="0" y="0"/>
                    <a:ext cx="2066446" cy="529143"/>
                  </a:xfrm>
                  <a:prstGeom prst="rect">
                    <a:avLst/>
                  </a:prstGeom>
                </pic:spPr>
              </pic:pic>
            </a:graphicData>
          </a:graphic>
        </wp:inline>
      </w:drawing>
    </w:r>
  </w:p>
  <w:p w14:paraId="1A1105F4" w14:textId="1703721A" w:rsidR="005F3E43" w:rsidRDefault="005F3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3D76"/>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E2014"/>
    <w:multiLevelType w:val="hybridMultilevel"/>
    <w:tmpl w:val="B7EECC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0841C10"/>
    <w:multiLevelType w:val="hybridMultilevel"/>
    <w:tmpl w:val="0EE6D3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DE281B"/>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251E7"/>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A2737C"/>
    <w:multiLevelType w:val="hybridMultilevel"/>
    <w:tmpl w:val="3A10E1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1479CF"/>
    <w:multiLevelType w:val="hybridMultilevel"/>
    <w:tmpl w:val="C0249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536E5"/>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C62C8"/>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E96566"/>
    <w:multiLevelType w:val="hybridMultilevel"/>
    <w:tmpl w:val="B09258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CD347E"/>
    <w:multiLevelType w:val="multilevel"/>
    <w:tmpl w:val="147405BA"/>
    <w:lvl w:ilvl="0">
      <w:start w:val="1"/>
      <w:numFmt w:val="bullet"/>
      <w:lvlText w:val=""/>
      <w:lvlJc w:val="left"/>
      <w:pPr>
        <w:tabs>
          <w:tab w:val="num" w:pos="840"/>
        </w:tabs>
        <w:ind w:left="840" w:hanging="360"/>
      </w:pPr>
      <w:rPr>
        <w:rFonts w:ascii="Symbol" w:hAnsi="Symbol" w:hint="default"/>
        <w:sz w:val="20"/>
      </w:rPr>
    </w:lvl>
    <w:lvl w:ilvl="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1" w15:restartNumberingAfterBreak="0">
    <w:nsid w:val="7DAA36C8"/>
    <w:multiLevelType w:val="hybridMultilevel"/>
    <w:tmpl w:val="2D2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C6CEC"/>
    <w:multiLevelType w:val="hybridMultilevel"/>
    <w:tmpl w:val="BEEE6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756AF"/>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289338">
    <w:abstractNumId w:val="2"/>
  </w:num>
  <w:num w:numId="2" w16cid:durableId="173494672">
    <w:abstractNumId w:val="5"/>
  </w:num>
  <w:num w:numId="3" w16cid:durableId="62722578">
    <w:abstractNumId w:val="9"/>
  </w:num>
  <w:num w:numId="4" w16cid:durableId="1926718308">
    <w:abstractNumId w:val="6"/>
  </w:num>
  <w:num w:numId="5" w16cid:durableId="1584606830">
    <w:abstractNumId w:val="11"/>
  </w:num>
  <w:num w:numId="6" w16cid:durableId="469322282">
    <w:abstractNumId w:val="12"/>
  </w:num>
  <w:num w:numId="7" w16cid:durableId="1523736862">
    <w:abstractNumId w:val="1"/>
  </w:num>
  <w:num w:numId="8" w16cid:durableId="1833137607">
    <w:abstractNumId w:val="10"/>
  </w:num>
  <w:num w:numId="9" w16cid:durableId="1725173164">
    <w:abstractNumId w:val="0"/>
  </w:num>
  <w:num w:numId="10" w16cid:durableId="1185940670">
    <w:abstractNumId w:val="4"/>
  </w:num>
  <w:num w:numId="11" w16cid:durableId="1694727175">
    <w:abstractNumId w:val="13"/>
  </w:num>
  <w:num w:numId="12" w16cid:durableId="667176810">
    <w:abstractNumId w:val="7"/>
  </w:num>
  <w:num w:numId="13" w16cid:durableId="1357006099">
    <w:abstractNumId w:val="3"/>
  </w:num>
  <w:num w:numId="14" w16cid:durableId="277102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43"/>
    <w:rsid w:val="00071611"/>
    <w:rsid w:val="000C20C7"/>
    <w:rsid w:val="000E4068"/>
    <w:rsid w:val="00110CD6"/>
    <w:rsid w:val="00186776"/>
    <w:rsid w:val="00255F64"/>
    <w:rsid w:val="002C2255"/>
    <w:rsid w:val="0036744B"/>
    <w:rsid w:val="00385C7C"/>
    <w:rsid w:val="003A2187"/>
    <w:rsid w:val="00443724"/>
    <w:rsid w:val="004E5192"/>
    <w:rsid w:val="005E6A85"/>
    <w:rsid w:val="005F3E43"/>
    <w:rsid w:val="00646E10"/>
    <w:rsid w:val="00652E47"/>
    <w:rsid w:val="007C61AE"/>
    <w:rsid w:val="00892224"/>
    <w:rsid w:val="009B64FF"/>
    <w:rsid w:val="009D1305"/>
    <w:rsid w:val="00A50022"/>
    <w:rsid w:val="00BC1E2B"/>
    <w:rsid w:val="00BF7EA9"/>
    <w:rsid w:val="00E53E86"/>
    <w:rsid w:val="00EC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572BF4"/>
  <w15:chartTrackingRefBased/>
  <w15:docId w15:val="{DB5E7BF2-E08D-4BEC-850F-986D0D9E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92"/>
  </w:style>
  <w:style w:type="paragraph" w:styleId="Heading3">
    <w:name w:val="heading 3"/>
    <w:basedOn w:val="Normal"/>
    <w:link w:val="Heading3Char"/>
    <w:uiPriority w:val="9"/>
    <w:qFormat/>
    <w:rsid w:val="003674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E43"/>
  </w:style>
  <w:style w:type="paragraph" w:styleId="Footer">
    <w:name w:val="footer"/>
    <w:basedOn w:val="Normal"/>
    <w:link w:val="FooterChar"/>
    <w:uiPriority w:val="99"/>
    <w:unhideWhenUsed/>
    <w:rsid w:val="005F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E43"/>
  </w:style>
  <w:style w:type="paragraph" w:styleId="ListParagraph">
    <w:name w:val="List Paragraph"/>
    <w:basedOn w:val="Normal"/>
    <w:uiPriority w:val="34"/>
    <w:qFormat/>
    <w:rsid w:val="00071611"/>
    <w:pPr>
      <w:ind w:left="720"/>
      <w:contextualSpacing/>
    </w:pPr>
  </w:style>
  <w:style w:type="character" w:styleId="Hyperlink">
    <w:name w:val="Hyperlink"/>
    <w:basedOn w:val="DefaultParagraphFont"/>
    <w:uiPriority w:val="99"/>
    <w:unhideWhenUsed/>
    <w:rsid w:val="00071611"/>
    <w:rPr>
      <w:color w:val="0563C1" w:themeColor="hyperlink"/>
      <w:u w:val="single"/>
    </w:rPr>
  </w:style>
  <w:style w:type="character" w:styleId="UnresolvedMention">
    <w:name w:val="Unresolved Mention"/>
    <w:basedOn w:val="DefaultParagraphFont"/>
    <w:uiPriority w:val="99"/>
    <w:semiHidden/>
    <w:unhideWhenUsed/>
    <w:rsid w:val="00071611"/>
    <w:rPr>
      <w:color w:val="605E5C"/>
      <w:shd w:val="clear" w:color="auto" w:fill="E1DFDD"/>
    </w:rPr>
  </w:style>
  <w:style w:type="character" w:styleId="FollowedHyperlink">
    <w:name w:val="FollowedHyperlink"/>
    <w:basedOn w:val="DefaultParagraphFont"/>
    <w:uiPriority w:val="99"/>
    <w:semiHidden/>
    <w:unhideWhenUsed/>
    <w:rsid w:val="00071611"/>
    <w:rPr>
      <w:color w:val="954F72" w:themeColor="followedHyperlink"/>
      <w:u w:val="single"/>
    </w:rPr>
  </w:style>
  <w:style w:type="paragraph" w:customStyle="1" w:styleId="paragraph">
    <w:name w:val="paragraph"/>
    <w:basedOn w:val="Normal"/>
    <w:rsid w:val="00BC1E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C1E2B"/>
  </w:style>
  <w:style w:type="character" w:customStyle="1" w:styleId="eop">
    <w:name w:val="eop"/>
    <w:basedOn w:val="DefaultParagraphFont"/>
    <w:rsid w:val="00BC1E2B"/>
  </w:style>
  <w:style w:type="character" w:styleId="Strong">
    <w:name w:val="Strong"/>
    <w:basedOn w:val="DefaultParagraphFont"/>
    <w:uiPriority w:val="22"/>
    <w:qFormat/>
    <w:rsid w:val="00652E47"/>
    <w:rPr>
      <w:b/>
      <w:bCs/>
    </w:rPr>
  </w:style>
  <w:style w:type="paragraph" w:styleId="NormalWeb">
    <w:name w:val="Normal (Web)"/>
    <w:basedOn w:val="Normal"/>
    <w:uiPriority w:val="99"/>
    <w:semiHidden/>
    <w:unhideWhenUsed/>
    <w:rsid w:val="004E51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E5192"/>
    <w:rPr>
      <w:i/>
      <w:iCs/>
    </w:rPr>
  </w:style>
  <w:style w:type="character" w:customStyle="1" w:styleId="Heading3Char">
    <w:name w:val="Heading 3 Char"/>
    <w:basedOn w:val="DefaultParagraphFont"/>
    <w:link w:val="Heading3"/>
    <w:uiPriority w:val="9"/>
    <w:rsid w:val="0036744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4799">
      <w:bodyDiv w:val="1"/>
      <w:marLeft w:val="0"/>
      <w:marRight w:val="0"/>
      <w:marTop w:val="0"/>
      <w:marBottom w:val="0"/>
      <w:divBdr>
        <w:top w:val="none" w:sz="0" w:space="0" w:color="auto"/>
        <w:left w:val="none" w:sz="0" w:space="0" w:color="auto"/>
        <w:bottom w:val="none" w:sz="0" w:space="0" w:color="auto"/>
        <w:right w:val="none" w:sz="0" w:space="0" w:color="auto"/>
      </w:divBdr>
    </w:div>
    <w:div w:id="628434076">
      <w:bodyDiv w:val="1"/>
      <w:marLeft w:val="0"/>
      <w:marRight w:val="0"/>
      <w:marTop w:val="0"/>
      <w:marBottom w:val="0"/>
      <w:divBdr>
        <w:top w:val="none" w:sz="0" w:space="0" w:color="auto"/>
        <w:left w:val="none" w:sz="0" w:space="0" w:color="auto"/>
        <w:bottom w:val="none" w:sz="0" w:space="0" w:color="auto"/>
        <w:right w:val="none" w:sz="0" w:space="0" w:color="auto"/>
      </w:divBdr>
    </w:div>
    <w:div w:id="1332834082">
      <w:bodyDiv w:val="1"/>
      <w:marLeft w:val="0"/>
      <w:marRight w:val="0"/>
      <w:marTop w:val="0"/>
      <w:marBottom w:val="0"/>
      <w:divBdr>
        <w:top w:val="none" w:sz="0" w:space="0" w:color="auto"/>
        <w:left w:val="none" w:sz="0" w:space="0" w:color="auto"/>
        <w:bottom w:val="none" w:sz="0" w:space="0" w:color="auto"/>
        <w:right w:val="none" w:sz="0" w:space="0" w:color="auto"/>
      </w:divBdr>
    </w:div>
    <w:div w:id="1514027332">
      <w:bodyDiv w:val="1"/>
      <w:marLeft w:val="0"/>
      <w:marRight w:val="0"/>
      <w:marTop w:val="0"/>
      <w:marBottom w:val="0"/>
      <w:divBdr>
        <w:top w:val="none" w:sz="0" w:space="0" w:color="auto"/>
        <w:left w:val="none" w:sz="0" w:space="0" w:color="auto"/>
        <w:bottom w:val="none" w:sz="0" w:space="0" w:color="auto"/>
        <w:right w:val="none" w:sz="0" w:space="0" w:color="auto"/>
      </w:divBdr>
    </w:div>
    <w:div w:id="1809324221">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1">
          <w:marLeft w:val="0"/>
          <w:marRight w:val="0"/>
          <w:marTop w:val="0"/>
          <w:marBottom w:val="0"/>
          <w:divBdr>
            <w:top w:val="none" w:sz="0" w:space="0" w:color="auto"/>
            <w:left w:val="none" w:sz="0" w:space="0" w:color="auto"/>
            <w:bottom w:val="none" w:sz="0" w:space="0" w:color="auto"/>
            <w:right w:val="none" w:sz="0" w:space="0" w:color="auto"/>
          </w:divBdr>
        </w:div>
        <w:div w:id="716856377">
          <w:marLeft w:val="0"/>
          <w:marRight w:val="0"/>
          <w:marTop w:val="0"/>
          <w:marBottom w:val="0"/>
          <w:divBdr>
            <w:top w:val="none" w:sz="0" w:space="0" w:color="auto"/>
            <w:left w:val="none" w:sz="0" w:space="0" w:color="auto"/>
            <w:bottom w:val="none" w:sz="0" w:space="0" w:color="auto"/>
            <w:right w:val="none" w:sz="0" w:space="0" w:color="auto"/>
          </w:divBdr>
        </w:div>
        <w:div w:id="658776239">
          <w:marLeft w:val="0"/>
          <w:marRight w:val="0"/>
          <w:marTop w:val="0"/>
          <w:marBottom w:val="0"/>
          <w:divBdr>
            <w:top w:val="none" w:sz="0" w:space="0" w:color="auto"/>
            <w:left w:val="none" w:sz="0" w:space="0" w:color="auto"/>
            <w:bottom w:val="none" w:sz="0" w:space="0" w:color="auto"/>
            <w:right w:val="none" w:sz="0" w:space="0" w:color="auto"/>
          </w:divBdr>
        </w:div>
      </w:divsChild>
    </w:div>
    <w:div w:id="1833400583">
      <w:bodyDiv w:val="1"/>
      <w:marLeft w:val="0"/>
      <w:marRight w:val="0"/>
      <w:marTop w:val="0"/>
      <w:marBottom w:val="0"/>
      <w:divBdr>
        <w:top w:val="none" w:sz="0" w:space="0" w:color="auto"/>
        <w:left w:val="none" w:sz="0" w:space="0" w:color="auto"/>
        <w:bottom w:val="none" w:sz="0" w:space="0" w:color="auto"/>
        <w:right w:val="none" w:sz="0" w:space="0" w:color="auto"/>
      </w:divBdr>
    </w:div>
    <w:div w:id="1905142029">
      <w:bodyDiv w:val="1"/>
      <w:marLeft w:val="0"/>
      <w:marRight w:val="0"/>
      <w:marTop w:val="0"/>
      <w:marBottom w:val="0"/>
      <w:divBdr>
        <w:top w:val="none" w:sz="0" w:space="0" w:color="auto"/>
        <w:left w:val="none" w:sz="0" w:space="0" w:color="auto"/>
        <w:bottom w:val="none" w:sz="0" w:space="0" w:color="auto"/>
        <w:right w:val="none" w:sz="0" w:space="0" w:color="auto"/>
      </w:divBdr>
    </w:div>
    <w:div w:id="19505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2023-06-01T00:00:00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ff315c-df75-479c-aca9-8cb80bf713a6">
      <Terms xmlns="http://schemas.microsoft.com/office/infopath/2007/PartnerControls"/>
    </lcf76f155ced4ddcb4097134ff3c332f>
    <TaxCatchAll xmlns="86cd11c8-9222-49d0-9cd5-bebc879c87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2E48B523623A4F9A42DCB1D060D5F2" ma:contentTypeVersion="15" ma:contentTypeDescription="Create a new document." ma:contentTypeScope="" ma:versionID="da2eed7dd88738c887d9901458738483">
  <xsd:schema xmlns:xsd="http://www.w3.org/2001/XMLSchema" xmlns:xs="http://www.w3.org/2001/XMLSchema" xmlns:p="http://schemas.microsoft.com/office/2006/metadata/properties" xmlns:ns2="a7ff315c-df75-479c-aca9-8cb80bf713a6" xmlns:ns3="86cd11c8-9222-49d0-9cd5-bebc879c8705" targetNamespace="http://schemas.microsoft.com/office/2006/metadata/properties" ma:root="true" ma:fieldsID="2002c51f0f473339bd033e4e1288b608" ns2:_="" ns3:_="">
    <xsd:import namespace="a7ff315c-df75-479c-aca9-8cb80bf713a6"/>
    <xsd:import namespace="86cd11c8-9222-49d0-9cd5-bebc879c8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f315c-df75-479c-aca9-8cb80bf71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d11c8-9222-49d0-9cd5-bebc879c87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378624-9cff-4ec4-93b4-609ddd94863d}" ma:internalName="TaxCatchAll" ma:showField="CatchAllData" ma:web="86cd11c8-9222-49d0-9cd5-bebc879c8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AF4ADE-EB04-4BDF-B922-39F4176BF233}">
  <ds:schemaRefs>
    <ds:schemaRef ds:uri="http://schemas.microsoft.com/sharepoint/v3/contenttype/forms"/>
  </ds:schemaRefs>
</ds:datastoreItem>
</file>

<file path=customXml/itemProps3.xml><?xml version="1.0" encoding="utf-8"?>
<ds:datastoreItem xmlns:ds="http://schemas.openxmlformats.org/officeDocument/2006/customXml" ds:itemID="{551B4EE4-F47C-49F0-966F-A20246F6C888}">
  <ds:schemaRefs>
    <ds:schemaRef ds:uri="http://purl.org/dc/elements/1.1/"/>
    <ds:schemaRef ds:uri="http://schemas.microsoft.com/office/2006/metadata/properties"/>
    <ds:schemaRef ds:uri="a7ff315c-df75-479c-aca9-8cb80bf713a6"/>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86cd11c8-9222-49d0-9cd5-bebc879c8705"/>
    <ds:schemaRef ds:uri="http://www.w3.org/XML/1998/namespace"/>
    <ds:schemaRef ds:uri="http://purl.org/dc/terms/"/>
  </ds:schemaRefs>
</ds:datastoreItem>
</file>

<file path=customXml/itemProps4.xml><?xml version="1.0" encoding="utf-8"?>
<ds:datastoreItem xmlns:ds="http://schemas.openxmlformats.org/officeDocument/2006/customXml" ds:itemID="{0AA4BBF6-14AD-4563-BAC4-E47EA87F4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f315c-df75-479c-aca9-8cb80bf713a6"/>
    <ds:schemaRef ds:uri="86cd11c8-9222-49d0-9cd5-bebc879c8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honorarium guidane</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honorarium guidane</dc:title>
  <dc:subject/>
  <dc:creator>Llewellyn, Christine L.</dc:creator>
  <cp:keywords/>
  <dc:description/>
  <cp:lastModifiedBy>Llewellyn, Christine L.</cp:lastModifiedBy>
  <cp:revision>3</cp:revision>
  <dcterms:created xsi:type="dcterms:W3CDTF">2023-06-27T18:12:00Z</dcterms:created>
  <dcterms:modified xsi:type="dcterms:W3CDTF">2023-06-27T18:14:00Z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0x010100382E48B523623A4F9A42DCB1D060D5F2</vt:lpwstr>
  </property>
</Properties>
</file>